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2EF" w:rsidRPr="002962EF" w:rsidRDefault="002962EF" w:rsidP="002962EF">
      <w:pPr>
        <w:shd w:val="clear" w:color="auto" w:fill="FFFFFF"/>
        <w:spacing w:after="100" w:afterAutospacing="1" w:line="315" w:lineRule="atLeast"/>
        <w:outlineLvl w:val="0"/>
        <w:rPr>
          <w:rFonts w:ascii="Arial" w:eastAsia="Times New Roman" w:hAnsi="Arial" w:cs="Arial"/>
          <w:color w:val="333333"/>
          <w:kern w:val="36"/>
          <w:sz w:val="27"/>
          <w:szCs w:val="27"/>
        </w:rPr>
      </w:pPr>
      <w:r w:rsidRPr="002962EF">
        <w:rPr>
          <w:rFonts w:ascii="Arial" w:eastAsia="Times New Roman" w:hAnsi="Arial" w:cs="Arial"/>
          <w:color w:val="333333"/>
          <w:kern w:val="36"/>
          <w:sz w:val="27"/>
          <w:szCs w:val="27"/>
        </w:rPr>
        <w:t>Конкурс (тендер) № 37315 </w:t>
      </w:r>
      <w:r w:rsidRPr="002962EF">
        <w:rPr>
          <w:rFonts w:ascii="Arial" w:eastAsia="Times New Roman" w:hAnsi="Arial" w:cs="Arial"/>
          <w:color w:val="A0A0A0"/>
          <w:kern w:val="36"/>
          <w:sz w:val="21"/>
          <w:szCs w:val="21"/>
        </w:rPr>
        <w:t>(вскрытие конвертов 13.11.2013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2962EF" w:rsidRPr="002962EF" w:rsidTr="002962EF">
        <w:trPr>
          <w:tblCellSpacing w:w="0" w:type="dxa"/>
        </w:trPr>
        <w:tc>
          <w:tcPr>
            <w:tcW w:w="0" w:type="auto"/>
            <w:shd w:val="clear" w:color="auto" w:fill="FFFFFF"/>
            <w:hideMark/>
          </w:tcPr>
          <w:p w:rsidR="002962EF" w:rsidRPr="002962EF" w:rsidRDefault="002962EF" w:rsidP="002962EF">
            <w:pPr>
              <w:shd w:val="clear" w:color="auto" w:fill="0786D0"/>
              <w:spacing w:after="30" w:line="240" w:lineRule="auto"/>
              <w:rPr>
                <w:rFonts w:ascii="Arial" w:eastAsia="Times New Roman" w:hAnsi="Arial" w:cs="Arial"/>
                <w:color w:val="FFFFFF"/>
                <w:sz w:val="18"/>
                <w:szCs w:val="18"/>
              </w:rPr>
            </w:pPr>
            <w:r w:rsidRPr="002962EF">
              <w:rPr>
                <w:rFonts w:ascii="Arial" w:eastAsia="Times New Roman" w:hAnsi="Arial" w:cs="Arial"/>
                <w:color w:val="FFFFFF"/>
                <w:sz w:val="18"/>
                <w:szCs w:val="18"/>
              </w:rPr>
              <w:t>Извещение</w:t>
            </w:r>
          </w:p>
          <w:p w:rsidR="002962EF" w:rsidRPr="002962EF" w:rsidRDefault="002962EF" w:rsidP="002962EF">
            <w:pPr>
              <w:shd w:val="clear" w:color="auto" w:fill="D5DADB"/>
              <w:spacing w:after="30" w:line="240" w:lineRule="auto"/>
              <w:rPr>
                <w:rFonts w:ascii="Arial" w:eastAsia="Times New Roman" w:hAnsi="Arial" w:cs="Arial"/>
                <w:color w:val="333333"/>
                <w:sz w:val="18"/>
                <w:szCs w:val="18"/>
              </w:rPr>
            </w:pPr>
            <w:hyperlink r:id="rId5" w:history="1">
              <w:r w:rsidRPr="002962EF">
                <w:rPr>
                  <w:rFonts w:ascii="Arial" w:eastAsia="Times New Roman" w:hAnsi="Arial" w:cs="Arial"/>
                  <w:color w:val="333333"/>
                  <w:sz w:val="18"/>
                  <w:szCs w:val="18"/>
                  <w:u w:val="single"/>
                  <w:bdr w:val="none" w:sz="0" w:space="0" w:color="auto" w:frame="1"/>
                </w:rPr>
                <w:t>Лоты</w:t>
              </w:r>
            </w:hyperlink>
            <w:r w:rsidRPr="002962EF">
              <w:rPr>
                <w:rFonts w:ascii="Arial" w:eastAsia="Times New Roman" w:hAnsi="Arial" w:cs="Arial"/>
                <w:color w:val="333333"/>
                <w:sz w:val="18"/>
                <w:szCs w:val="18"/>
              </w:rPr>
              <w:t> - 1</w:t>
            </w:r>
          </w:p>
          <w:p w:rsidR="002962EF" w:rsidRPr="002962EF" w:rsidRDefault="002962EF" w:rsidP="002962EF">
            <w:pPr>
              <w:shd w:val="clear" w:color="auto" w:fill="D5DADB"/>
              <w:spacing w:after="30" w:line="240" w:lineRule="auto"/>
              <w:rPr>
                <w:rFonts w:ascii="Arial" w:eastAsia="Times New Roman" w:hAnsi="Arial" w:cs="Arial"/>
                <w:color w:val="333333"/>
                <w:sz w:val="18"/>
                <w:szCs w:val="18"/>
              </w:rPr>
            </w:pPr>
            <w:hyperlink r:id="rId6" w:history="1">
              <w:r w:rsidRPr="002962EF">
                <w:rPr>
                  <w:rFonts w:ascii="Arial" w:eastAsia="Times New Roman" w:hAnsi="Arial" w:cs="Arial"/>
                  <w:color w:val="333333"/>
                  <w:sz w:val="18"/>
                  <w:szCs w:val="18"/>
                  <w:u w:val="single"/>
                  <w:bdr w:val="none" w:sz="0" w:space="0" w:color="auto" w:frame="1"/>
                </w:rPr>
                <w:t>Запросы разъяснений</w:t>
              </w:r>
            </w:hyperlink>
            <w:r w:rsidRPr="002962EF">
              <w:rPr>
                <w:rFonts w:ascii="Arial" w:eastAsia="Times New Roman" w:hAnsi="Arial" w:cs="Arial"/>
                <w:color w:val="333333"/>
                <w:sz w:val="18"/>
                <w:szCs w:val="18"/>
              </w:rPr>
              <w:t> - 0</w:t>
            </w:r>
          </w:p>
          <w:p w:rsidR="002962EF" w:rsidRPr="002962EF" w:rsidRDefault="002962EF" w:rsidP="002962EF">
            <w:pPr>
              <w:shd w:val="clear" w:color="auto" w:fill="D5DADB"/>
              <w:spacing w:after="30" w:line="240" w:lineRule="auto"/>
              <w:rPr>
                <w:rFonts w:ascii="Arial" w:eastAsia="Times New Roman" w:hAnsi="Arial" w:cs="Arial"/>
                <w:color w:val="333333"/>
                <w:sz w:val="18"/>
                <w:szCs w:val="18"/>
              </w:rPr>
            </w:pPr>
            <w:hyperlink r:id="rId7" w:history="1">
              <w:r w:rsidRPr="002962EF">
                <w:rPr>
                  <w:rFonts w:ascii="Arial" w:eastAsia="Times New Roman" w:hAnsi="Arial" w:cs="Arial"/>
                  <w:color w:val="333333"/>
                  <w:sz w:val="18"/>
                  <w:szCs w:val="18"/>
                  <w:u w:val="single"/>
                  <w:bdr w:val="none" w:sz="0" w:space="0" w:color="auto" w:frame="1"/>
                </w:rPr>
                <w:t>Приглашения к участию</w:t>
              </w:r>
            </w:hyperlink>
            <w:r w:rsidRPr="002962EF">
              <w:rPr>
                <w:rFonts w:ascii="Arial" w:eastAsia="Times New Roman" w:hAnsi="Arial" w:cs="Arial"/>
                <w:color w:val="333333"/>
                <w:sz w:val="18"/>
                <w:szCs w:val="18"/>
              </w:rPr>
              <w:t> - 0</w:t>
            </w:r>
          </w:p>
          <w:p w:rsidR="002962EF" w:rsidRPr="002962EF" w:rsidRDefault="002962EF" w:rsidP="002962EF">
            <w:pPr>
              <w:shd w:val="clear" w:color="auto" w:fill="D5DADB"/>
              <w:spacing w:after="30" w:line="240" w:lineRule="auto"/>
              <w:rPr>
                <w:rFonts w:ascii="Arial" w:eastAsia="Times New Roman" w:hAnsi="Arial" w:cs="Arial"/>
                <w:color w:val="333333"/>
                <w:sz w:val="18"/>
                <w:szCs w:val="18"/>
              </w:rPr>
            </w:pPr>
            <w:hyperlink r:id="rId8" w:history="1">
              <w:r w:rsidRPr="002962EF">
                <w:rPr>
                  <w:rFonts w:ascii="Arial" w:eastAsia="Times New Roman" w:hAnsi="Arial" w:cs="Arial"/>
                  <w:color w:val="333333"/>
                  <w:sz w:val="18"/>
                  <w:szCs w:val="18"/>
                  <w:u w:val="single"/>
                  <w:bdr w:val="none" w:sz="0" w:space="0" w:color="auto" w:frame="1"/>
                </w:rPr>
                <w:t>Претенденты</w:t>
              </w:r>
            </w:hyperlink>
            <w:r w:rsidRPr="002962EF">
              <w:rPr>
                <w:rFonts w:ascii="Arial" w:eastAsia="Times New Roman" w:hAnsi="Arial" w:cs="Arial"/>
                <w:color w:val="333333"/>
                <w:sz w:val="18"/>
                <w:szCs w:val="18"/>
              </w:rPr>
              <w:t> - 0</w:t>
            </w:r>
          </w:p>
          <w:p w:rsidR="002962EF" w:rsidRPr="002962EF" w:rsidRDefault="002962EF" w:rsidP="002962EF">
            <w:pPr>
              <w:shd w:val="clear" w:color="auto" w:fill="D5DADB"/>
              <w:spacing w:after="30" w:line="240" w:lineRule="auto"/>
              <w:rPr>
                <w:rFonts w:ascii="Arial" w:eastAsia="Times New Roman" w:hAnsi="Arial" w:cs="Arial"/>
                <w:color w:val="333333"/>
                <w:sz w:val="18"/>
                <w:szCs w:val="18"/>
              </w:rPr>
            </w:pPr>
            <w:hyperlink r:id="rId9" w:history="1">
              <w:r w:rsidRPr="002962EF">
                <w:rPr>
                  <w:rFonts w:ascii="Arial" w:eastAsia="Times New Roman" w:hAnsi="Arial" w:cs="Arial"/>
                  <w:color w:val="333333"/>
                  <w:sz w:val="18"/>
                  <w:szCs w:val="18"/>
                  <w:u w:val="single"/>
                  <w:bdr w:val="none" w:sz="0" w:space="0" w:color="auto" w:frame="1"/>
                </w:rPr>
                <w:t>Статистика посещений</w:t>
              </w:r>
            </w:hyperlink>
          </w:p>
        </w:tc>
      </w:tr>
    </w:tbl>
    <w:p w:rsidR="002962EF" w:rsidRPr="002962EF" w:rsidRDefault="002962EF" w:rsidP="002962EF">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2962EF" w:rsidRPr="002962EF" w:rsidTr="002962EF">
        <w:trPr>
          <w:tblCellSpacing w:w="7" w:type="dxa"/>
        </w:trPr>
        <w:tc>
          <w:tcPr>
            <w:tcW w:w="0" w:type="auto"/>
            <w:shd w:val="clear" w:color="auto" w:fill="C2C9CD"/>
            <w:tcMar>
              <w:top w:w="75" w:type="dxa"/>
              <w:left w:w="75" w:type="dxa"/>
              <w:bottom w:w="75" w:type="dxa"/>
              <w:right w:w="75" w:type="dxa"/>
            </w:tcMar>
            <w:hideMark/>
          </w:tcPr>
          <w:p w:rsidR="002962EF" w:rsidRPr="002962EF" w:rsidRDefault="002962EF" w:rsidP="002962EF">
            <w:pPr>
              <w:shd w:val="clear" w:color="auto" w:fill="C2C9CD"/>
              <w:spacing w:after="0" w:line="210" w:lineRule="atLeast"/>
              <w:outlineLvl w:val="1"/>
              <w:rPr>
                <w:rFonts w:ascii="Arial" w:eastAsia="Times New Roman" w:hAnsi="Arial" w:cs="Arial"/>
                <w:color w:val="333333"/>
                <w:sz w:val="18"/>
                <w:szCs w:val="18"/>
              </w:rPr>
            </w:pPr>
            <w:hyperlink r:id="rId10" w:history="1">
              <w:r w:rsidRPr="002962EF">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2962EF">
                <w:rPr>
                  <w:rFonts w:ascii="Arial" w:eastAsia="Times New Roman" w:hAnsi="Arial" w:cs="Arial"/>
                  <w:b/>
                  <w:bCs/>
                  <w:color w:val="990066"/>
                  <w:sz w:val="18"/>
                  <w:szCs w:val="18"/>
                  <w:u w:val="single"/>
                </w:rPr>
                <w:t>Тюменьэнерго</w:t>
              </w:r>
              <w:proofErr w:type="spellEnd"/>
              <w:r w:rsidRPr="002962EF">
                <w:rPr>
                  <w:rFonts w:ascii="Arial" w:eastAsia="Times New Roman" w:hAnsi="Arial" w:cs="Arial"/>
                  <w:b/>
                  <w:bCs/>
                  <w:color w:val="990066"/>
                  <w:sz w:val="18"/>
                  <w:szCs w:val="18"/>
                  <w:u w:val="single"/>
                </w:rPr>
                <w:t xml:space="preserve">" </w:t>
              </w:r>
              <w:proofErr w:type="spellStart"/>
              <w:r w:rsidRPr="002962EF">
                <w:rPr>
                  <w:rFonts w:ascii="Arial" w:eastAsia="Times New Roman" w:hAnsi="Arial" w:cs="Arial"/>
                  <w:b/>
                  <w:bCs/>
                  <w:color w:val="990066"/>
                  <w:sz w:val="18"/>
                  <w:szCs w:val="18"/>
                  <w:u w:val="single"/>
                </w:rPr>
                <w:t>Нижневартовские</w:t>
              </w:r>
              <w:proofErr w:type="spellEnd"/>
              <w:r w:rsidRPr="002962EF">
                <w:rPr>
                  <w:rFonts w:ascii="Arial" w:eastAsia="Times New Roman" w:hAnsi="Arial" w:cs="Arial"/>
                  <w:b/>
                  <w:bCs/>
                  <w:color w:val="990066"/>
                  <w:sz w:val="18"/>
                  <w:szCs w:val="18"/>
                  <w:u w:val="single"/>
                </w:rPr>
                <w:t xml:space="preserve"> электрические сети</w:t>
              </w:r>
            </w:hyperlink>
            <w:r w:rsidRPr="002962EF">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2962EF">
              <w:rPr>
                <w:rFonts w:ascii="Arial" w:eastAsia="Times New Roman" w:hAnsi="Arial" w:cs="Arial"/>
                <w:b/>
                <w:bCs/>
                <w:color w:val="333333"/>
                <w:sz w:val="18"/>
                <w:szCs w:val="18"/>
              </w:rPr>
              <w:t>приглашает принять участие в процедуре (тендере)</w:t>
            </w:r>
            <w:r w:rsidRPr="002962EF">
              <w:rPr>
                <w:rFonts w:ascii="Arial" w:eastAsia="Times New Roman" w:hAnsi="Arial" w:cs="Arial"/>
                <w:color w:val="333333"/>
                <w:sz w:val="18"/>
                <w:szCs w:val="18"/>
              </w:rPr>
              <w:t>.</w:t>
            </w:r>
          </w:p>
        </w:tc>
      </w:tr>
      <w:tr w:rsidR="002962EF" w:rsidRPr="002962EF" w:rsidTr="002962E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оказание транспортных услуг грузовым транспортом филиалу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xml:space="preserve">» </w:t>
                  </w:r>
                  <w:proofErr w:type="spellStart"/>
                  <w:r w:rsidRPr="002962EF">
                    <w:rPr>
                      <w:rFonts w:ascii="Times New Roman" w:eastAsia="Times New Roman" w:hAnsi="Times New Roman" w:cs="Times New Roman"/>
                      <w:sz w:val="24"/>
                      <w:szCs w:val="24"/>
                    </w:rPr>
                    <w:t>Нижневартовские</w:t>
                  </w:r>
                  <w:proofErr w:type="spellEnd"/>
                  <w:r w:rsidRPr="002962EF">
                    <w:rPr>
                      <w:rFonts w:ascii="Times New Roman" w:eastAsia="Times New Roman" w:hAnsi="Times New Roman" w:cs="Times New Roman"/>
                      <w:sz w:val="24"/>
                      <w:szCs w:val="24"/>
                    </w:rPr>
                    <w:t xml:space="preserve"> электрические сети</w:t>
                  </w:r>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b/>
                      <w:bCs/>
                      <w:sz w:val="24"/>
                      <w:szCs w:val="24"/>
                    </w:rPr>
                    <w:t>Лот № 1.</w:t>
                  </w:r>
                  <w:r w:rsidRPr="002962EF">
                    <w:rPr>
                      <w:rFonts w:ascii="Times New Roman" w:eastAsia="Times New Roman" w:hAnsi="Times New Roman" w:cs="Times New Roman"/>
                      <w:sz w:val="24"/>
                      <w:szCs w:val="24"/>
                    </w:rPr>
                    <w:t> Оказание транспортных услуг грузовым транспортом филиалу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xml:space="preserve">» </w:t>
                  </w:r>
                  <w:proofErr w:type="spellStart"/>
                  <w:r w:rsidRPr="002962EF">
                    <w:rPr>
                      <w:rFonts w:ascii="Times New Roman" w:eastAsia="Times New Roman" w:hAnsi="Times New Roman" w:cs="Times New Roman"/>
                      <w:sz w:val="24"/>
                      <w:szCs w:val="24"/>
                    </w:rPr>
                    <w:t>Нижневартовские</w:t>
                  </w:r>
                  <w:proofErr w:type="spellEnd"/>
                  <w:r w:rsidRPr="002962EF">
                    <w:rPr>
                      <w:rFonts w:ascii="Times New Roman" w:eastAsia="Times New Roman" w:hAnsi="Times New Roman" w:cs="Times New Roman"/>
                      <w:sz w:val="24"/>
                      <w:szCs w:val="24"/>
                    </w:rPr>
                    <w:t xml:space="preserve"> электрические сети (ОАО)</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Категории ОКДП:</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6023010 </w:t>
                  </w:r>
                  <w:hyperlink r:id="rId11" w:history="1">
                    <w:r w:rsidRPr="002962EF">
                      <w:rPr>
                        <w:rFonts w:ascii="Times New Roman" w:eastAsia="Times New Roman" w:hAnsi="Times New Roman" w:cs="Times New Roman"/>
                        <w:color w:val="1C50A4"/>
                        <w:sz w:val="24"/>
                        <w:szCs w:val="24"/>
                        <w:u w:val="single"/>
                      </w:rPr>
                      <w:t>Услуги по перевозке грузов</w:t>
                    </w:r>
                  </w:hyperlink>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Категория ОКВЭД:</w:t>
                  </w:r>
                </w:p>
              </w:tc>
              <w:tc>
                <w:tcPr>
                  <w:tcW w:w="0" w:type="auto"/>
                  <w:shd w:val="clear" w:color="auto" w:fill="F7F7F7"/>
                  <w:hideMark/>
                </w:tcPr>
                <w:p w:rsidR="002962EF" w:rsidRPr="002962EF" w:rsidRDefault="002962EF" w:rsidP="002962EF">
                  <w:pPr>
                    <w:shd w:val="clear" w:color="auto" w:fill="FFFFFF"/>
                    <w:spacing w:after="6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Деятельность автомобильного грузового специализированного транспорта;</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Конкурс (тендер) объявлен:</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14.10.2013 11:11</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Сроки поставки:</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b/>
                      <w:bCs/>
                      <w:sz w:val="24"/>
                      <w:szCs w:val="24"/>
                    </w:rPr>
                    <w:t>2014 Год</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Почтовый адрес заказчика:</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Контактное лицо:</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2962EF">
                      <w:rPr>
                        <w:rFonts w:ascii="Times New Roman" w:eastAsia="Times New Roman" w:hAnsi="Times New Roman" w:cs="Times New Roman"/>
                        <w:color w:val="1C50A4"/>
                        <w:sz w:val="24"/>
                        <w:szCs w:val="24"/>
                        <w:u w:val="single"/>
                      </w:rPr>
                      <w:t>Туниекова Ольга Юрьевна</w:t>
                    </w:r>
                  </w:hyperlink>
                  <w:r w:rsidRPr="002962EF">
                    <w:rPr>
                      <w:rFonts w:ascii="Times New Roman" w:eastAsia="Times New Roman" w:hAnsi="Times New Roman" w:cs="Times New Roman"/>
                      <w:sz w:val="24"/>
                      <w:szCs w:val="24"/>
                    </w:rPr>
                    <w:t>, тел.+7 (3466) 48-41-89, </w:t>
                  </w:r>
                  <w:hyperlink r:id="rId13" w:history="1">
                    <w:r w:rsidRPr="002962EF">
                      <w:rPr>
                        <w:rFonts w:ascii="Times New Roman" w:eastAsia="Times New Roman" w:hAnsi="Times New Roman" w:cs="Times New Roman"/>
                        <w:color w:val="1C50A4"/>
                        <w:sz w:val="24"/>
                        <w:szCs w:val="24"/>
                        <w:u w:val="single"/>
                      </w:rPr>
                      <w:t>TuniekovaOY@vartanet.ru</w:t>
                    </w:r>
                  </w:hyperlink>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Конкурсная комиссия:</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proofErr w:type="gramStart"/>
                  <w:r w:rsidRPr="002962EF">
                    <w:rPr>
                      <w:rFonts w:ascii="Times New Roman" w:eastAsia="Times New Roman" w:hAnsi="Times New Roman" w:cs="Times New Roman"/>
                      <w:sz w:val="24"/>
                      <w:szCs w:val="24"/>
                    </w:rPr>
                    <w:t>Назначена</w:t>
                  </w:r>
                  <w:proofErr w:type="gramEnd"/>
                  <w:r w:rsidRPr="002962EF">
                    <w:rPr>
                      <w:rFonts w:ascii="Times New Roman" w:eastAsia="Times New Roman" w:hAnsi="Times New Roman" w:cs="Times New Roman"/>
                      <w:sz w:val="24"/>
                      <w:szCs w:val="24"/>
                    </w:rPr>
                    <w:t xml:space="preserve"> Приказом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 386 от 16.09.2013 г.</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Требования к участникам:</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2962EF">
                    <w:rPr>
                      <w:rFonts w:ascii="Times New Roman" w:eastAsia="Times New Roman" w:hAnsi="Times New Roman" w:cs="Times New Roman"/>
                      <w:sz w:val="24"/>
                      <w:szCs w:val="24"/>
                    </w:rPr>
                    <w:br/>
                    <w:t xml:space="preserve">2. </w:t>
                  </w:r>
                  <w:proofErr w:type="gramStart"/>
                  <w:r w:rsidRPr="002962EF">
                    <w:rPr>
                      <w:rFonts w:ascii="Times New Roman" w:eastAsia="Times New Roman" w:hAnsi="Times New Roman" w:cs="Times New Roman"/>
                      <w:sz w:val="24"/>
                      <w:szCs w:val="24"/>
                    </w:rPr>
                    <w:t>Участник должен обладать необходимыми кадровыми ресурсами: </w:t>
                  </w:r>
                  <w:r w:rsidRPr="002962EF">
                    <w:rPr>
                      <w:rFonts w:ascii="Times New Roman" w:eastAsia="Times New Roman" w:hAnsi="Times New Roman" w:cs="Times New Roman"/>
                      <w:sz w:val="24"/>
                      <w:szCs w:val="24"/>
                    </w:rPr>
                    <w:br/>
                    <w:t>- водитель автомобиля категории «В» - не менее 29 чел.,</w:t>
                  </w:r>
                  <w:r w:rsidRPr="002962EF">
                    <w:rPr>
                      <w:rFonts w:ascii="Times New Roman" w:eastAsia="Times New Roman" w:hAnsi="Times New Roman" w:cs="Times New Roman"/>
                      <w:sz w:val="24"/>
                      <w:szCs w:val="24"/>
                    </w:rPr>
                    <w:br/>
                    <w:t>- водитель автомобиля категории «С» - не менее 7 чел.,</w:t>
                  </w:r>
                  <w:r w:rsidRPr="002962EF">
                    <w:rPr>
                      <w:rFonts w:ascii="Times New Roman" w:eastAsia="Times New Roman" w:hAnsi="Times New Roman" w:cs="Times New Roman"/>
                      <w:sz w:val="24"/>
                      <w:szCs w:val="24"/>
                    </w:rPr>
                    <w:br/>
                    <w:t>- водитель автомобиля категории «С, Е» - не менее 6 чел.,</w:t>
                  </w:r>
                  <w:r w:rsidRPr="002962EF">
                    <w:rPr>
                      <w:rFonts w:ascii="Times New Roman" w:eastAsia="Times New Roman" w:hAnsi="Times New Roman" w:cs="Times New Roman"/>
                      <w:sz w:val="24"/>
                      <w:szCs w:val="24"/>
                    </w:rPr>
                    <w:br/>
                    <w:t>- оператор диспетчерской службы – не менее 2 чел.,</w:t>
                  </w:r>
                  <w:r w:rsidRPr="002962EF">
                    <w:rPr>
                      <w:rFonts w:ascii="Times New Roman" w:eastAsia="Times New Roman" w:hAnsi="Times New Roman" w:cs="Times New Roman"/>
                      <w:sz w:val="24"/>
                      <w:szCs w:val="24"/>
                    </w:rPr>
                    <w:br/>
                    <w:t>- механик на выпуске – не менее 2 чел.,</w:t>
                  </w:r>
                  <w:r w:rsidRPr="002962EF">
                    <w:rPr>
                      <w:rFonts w:ascii="Times New Roman" w:eastAsia="Times New Roman" w:hAnsi="Times New Roman" w:cs="Times New Roman"/>
                      <w:sz w:val="24"/>
                      <w:szCs w:val="24"/>
                    </w:rPr>
                    <w:br/>
                    <w:t>- инженер по безопасности движения – не менее 1 чел.,</w:t>
                  </w:r>
                  <w:r w:rsidRPr="002962EF">
                    <w:rPr>
                      <w:rFonts w:ascii="Times New Roman" w:eastAsia="Times New Roman" w:hAnsi="Times New Roman" w:cs="Times New Roman"/>
                      <w:sz w:val="24"/>
                      <w:szCs w:val="24"/>
                    </w:rPr>
                    <w:br/>
                    <w:t>- медицинский работник по выпуску водителей на линию</w:t>
                  </w:r>
                  <w:proofErr w:type="gramEnd"/>
                  <w:r w:rsidRPr="002962EF">
                    <w:rPr>
                      <w:rFonts w:ascii="Times New Roman" w:eastAsia="Times New Roman" w:hAnsi="Times New Roman" w:cs="Times New Roman"/>
                      <w:sz w:val="24"/>
                      <w:szCs w:val="24"/>
                    </w:rPr>
                    <w:t xml:space="preserve"> – не менее 1 чел. (или наличие договора со специализированной организацией на оказание данных услуг).</w:t>
                  </w:r>
                  <w:r w:rsidRPr="002962EF">
                    <w:rPr>
                      <w:rFonts w:ascii="Times New Roman" w:eastAsia="Times New Roman" w:hAnsi="Times New Roman" w:cs="Times New Roman"/>
                      <w:sz w:val="24"/>
                      <w:szCs w:val="24"/>
                    </w:rPr>
                    <w:br/>
                    <w:t>Все водители должны иметь группу по электробезопасности не ниже 2. </w:t>
                  </w:r>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sz w:val="24"/>
                      <w:szCs w:val="24"/>
                    </w:rPr>
                    <w:br/>
                    <w:t>3. Участник должен обладать необходимыми основными машинами и механизмами: </w:t>
                  </w:r>
                  <w:r w:rsidRPr="002962EF">
                    <w:rPr>
                      <w:rFonts w:ascii="Times New Roman" w:eastAsia="Times New Roman" w:hAnsi="Times New Roman" w:cs="Times New Roman"/>
                      <w:sz w:val="24"/>
                      <w:szCs w:val="24"/>
                    </w:rPr>
                    <w:br/>
                    <w:t xml:space="preserve">- </w:t>
                  </w:r>
                  <w:proofErr w:type="gramStart"/>
                  <w:r w:rsidRPr="002962EF">
                    <w:rPr>
                      <w:rFonts w:ascii="Times New Roman" w:eastAsia="Times New Roman" w:hAnsi="Times New Roman" w:cs="Times New Roman"/>
                      <w:sz w:val="24"/>
                      <w:szCs w:val="24"/>
                    </w:rPr>
                    <w:t>ГАЗ 2705 (или аналог) – не менее 26 ед.,</w:t>
                  </w:r>
                  <w:r w:rsidRPr="002962EF">
                    <w:rPr>
                      <w:rFonts w:ascii="Times New Roman" w:eastAsia="Times New Roman" w:hAnsi="Times New Roman" w:cs="Times New Roman"/>
                      <w:sz w:val="24"/>
                      <w:szCs w:val="24"/>
                    </w:rPr>
                    <w:br/>
                    <w:t>- УРАЛ-5557-10 (или аналог) – не менее 2 ед.,</w:t>
                  </w:r>
                  <w:r w:rsidRPr="002962EF">
                    <w:rPr>
                      <w:rFonts w:ascii="Times New Roman" w:eastAsia="Times New Roman" w:hAnsi="Times New Roman" w:cs="Times New Roman"/>
                      <w:sz w:val="24"/>
                      <w:szCs w:val="24"/>
                    </w:rPr>
                    <w:br/>
                    <w:t>- КАМАЗ-55111С (или аналог) – не менее 1 ед.,</w:t>
                  </w:r>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sz w:val="24"/>
                      <w:szCs w:val="24"/>
                    </w:rPr>
                    <w:lastRenderedPageBreak/>
                    <w:t>- КАМАЗ-5410 (или аналог) – не менее 1 ед.,</w:t>
                  </w:r>
                  <w:r w:rsidRPr="002962EF">
                    <w:rPr>
                      <w:rFonts w:ascii="Times New Roman" w:eastAsia="Times New Roman" w:hAnsi="Times New Roman" w:cs="Times New Roman"/>
                      <w:sz w:val="24"/>
                      <w:szCs w:val="24"/>
                    </w:rPr>
                    <w:br/>
                    <w:t>- УРАЛ 44202031131 (или аналог) – не менее 3 ед.,</w:t>
                  </w:r>
                  <w:r w:rsidRPr="002962EF">
                    <w:rPr>
                      <w:rFonts w:ascii="Times New Roman" w:eastAsia="Times New Roman" w:hAnsi="Times New Roman" w:cs="Times New Roman"/>
                      <w:sz w:val="24"/>
                      <w:szCs w:val="24"/>
                    </w:rPr>
                    <w:br/>
                    <w:t>- КЗКТ-74286 (или аналог) – не менее 2 ед.,</w:t>
                  </w:r>
                  <w:r w:rsidRPr="002962EF">
                    <w:rPr>
                      <w:rFonts w:ascii="Times New Roman" w:eastAsia="Times New Roman" w:hAnsi="Times New Roman" w:cs="Times New Roman"/>
                      <w:sz w:val="24"/>
                      <w:szCs w:val="24"/>
                    </w:rPr>
                    <w:br/>
                    <w:t>- КАМАЗ-532120 (или аналог) – не менее 4 ед.,</w:t>
                  </w:r>
                  <w:r w:rsidRPr="002962EF">
                    <w:rPr>
                      <w:rFonts w:ascii="Times New Roman" w:eastAsia="Times New Roman" w:hAnsi="Times New Roman" w:cs="Times New Roman"/>
                      <w:sz w:val="24"/>
                      <w:szCs w:val="24"/>
                    </w:rPr>
                    <w:br/>
                    <w:t>- ГАЗ 330210-0114 (или аналог) – не менее 3 ед.</w:t>
                  </w:r>
                  <w:r w:rsidRPr="002962EF">
                    <w:rPr>
                      <w:rFonts w:ascii="Times New Roman" w:eastAsia="Times New Roman" w:hAnsi="Times New Roman" w:cs="Times New Roman"/>
                      <w:sz w:val="24"/>
                      <w:szCs w:val="24"/>
                    </w:rPr>
                    <w:br/>
                    <w:t>Необходимость</w:t>
                  </w:r>
                  <w:proofErr w:type="gramEnd"/>
                  <w:r w:rsidRPr="002962EF">
                    <w:rPr>
                      <w:rFonts w:ascii="Times New Roman" w:eastAsia="Times New Roman" w:hAnsi="Times New Roman" w:cs="Times New Roman"/>
                      <w:sz w:val="24"/>
                      <w:szCs w:val="24"/>
                    </w:rPr>
                    <w:t xml:space="preserve"> замены указанных машин и механизмов должна быть обоснована в конкурсном предложении участника (форма 6).</w:t>
                  </w:r>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sz w:val="24"/>
                      <w:szCs w:val="24"/>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2962EF">
                    <w:rPr>
                      <w:rFonts w:ascii="Times New Roman" w:eastAsia="Times New Roman" w:hAnsi="Times New Roman" w:cs="Times New Roman"/>
                      <w:sz w:val="24"/>
                      <w:szCs w:val="24"/>
                    </w:rPr>
                    <w:t>за</w:t>
                  </w:r>
                  <w:proofErr w:type="gramEnd"/>
                  <w:r w:rsidRPr="002962EF">
                    <w:rPr>
                      <w:rFonts w:ascii="Times New Roman" w:eastAsia="Times New Roman" w:hAnsi="Times New Roman" w:cs="Times New Roman"/>
                      <w:sz w:val="24"/>
                      <w:szCs w:val="24"/>
                    </w:rPr>
                    <w:t xml:space="preserve"> последние 3 года</w:t>
                  </w:r>
                  <w:r w:rsidRPr="002962EF">
                    <w:rPr>
                      <w:rFonts w:ascii="Times New Roman" w:eastAsia="Times New Roman" w:hAnsi="Times New Roman" w:cs="Times New Roman"/>
                      <w:sz w:val="24"/>
                      <w:szCs w:val="24"/>
                    </w:rPr>
                    <w:br/>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2962EF">
                    <w:rPr>
                      <w:rFonts w:ascii="Times New Roman" w:eastAsia="Times New Roman" w:hAnsi="Times New Roman" w:cs="Times New Roman"/>
                      <w:sz w:val="24"/>
                      <w:szCs w:val="24"/>
                    </w:rPr>
                    <w:t>последние</w:t>
                  </w:r>
                  <w:proofErr w:type="gramEnd"/>
                  <w:r w:rsidRPr="002962EF">
                    <w:rPr>
                      <w:rFonts w:ascii="Times New Roman" w:eastAsia="Times New Roman" w:hAnsi="Times New Roman" w:cs="Times New Roman"/>
                      <w:sz w:val="24"/>
                      <w:szCs w:val="24"/>
                    </w:rPr>
                    <w:t xml:space="preserve"> 3 года</w:t>
                  </w:r>
                  <w:r w:rsidRPr="002962EF">
                    <w:rPr>
                      <w:rFonts w:ascii="Times New Roman" w:eastAsia="Times New Roman" w:hAnsi="Times New Roman" w:cs="Times New Roman"/>
                      <w:sz w:val="24"/>
                      <w:szCs w:val="24"/>
                    </w:rPr>
                    <w:br/>
                    <w:t xml:space="preserve">6. </w:t>
                  </w:r>
                  <w:proofErr w:type="gramStart"/>
                  <w:r w:rsidRPr="002962EF">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2962EF">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w:t>
                  </w:r>
                  <w:r w:rsidRPr="002962EF">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2962EF">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2962EF">
                    <w:rPr>
                      <w:rFonts w:ascii="Times New Roman" w:eastAsia="Times New Roman" w:hAnsi="Times New Roman" w:cs="Times New Roman"/>
                      <w:sz w:val="24"/>
                      <w:szCs w:val="24"/>
                    </w:rPr>
                    <w:br/>
                  </w:r>
                  <w:proofErr w:type="gramStart"/>
                  <w:r w:rsidRPr="002962EF">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2962EF">
                    <w:rPr>
                      <w:rFonts w:ascii="Times New Roman" w:eastAsia="Times New Roman" w:hAnsi="Times New Roman" w:cs="Times New Roman"/>
                      <w:sz w:val="24"/>
                      <w:szCs w:val="24"/>
                    </w:rPr>
                    <w:br/>
                    <w:t>д) участник не должен иметь задолженность по уплате налогов;</w:t>
                  </w:r>
                  <w:r w:rsidRPr="002962EF">
                    <w:rPr>
                      <w:rFonts w:ascii="Times New Roman" w:eastAsia="Times New Roman" w:hAnsi="Times New Roman" w:cs="Times New Roman"/>
                      <w:sz w:val="24"/>
                      <w:szCs w:val="24"/>
                    </w:rPr>
                    <w:br/>
                    <w:t>е) на имущество Участника не должен быть наложен арест;</w:t>
                  </w:r>
                  <w:r w:rsidRPr="002962EF">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2962EF">
                    <w:rPr>
                      <w:rFonts w:ascii="Times New Roman" w:eastAsia="Times New Roman" w:hAnsi="Times New Roman" w:cs="Times New Roman"/>
                      <w:sz w:val="24"/>
                      <w:szCs w:val="24"/>
                    </w:rPr>
                    <w:br/>
                  </w:r>
                  <w:proofErr w:type="gramStart"/>
                  <w:r w:rsidRPr="002962EF">
                    <w:rPr>
                      <w:rFonts w:ascii="Times New Roman" w:eastAsia="Times New Roman" w:hAnsi="Times New Roman" w:cs="Times New Roman"/>
                      <w:sz w:val="24"/>
                      <w:szCs w:val="24"/>
                    </w:rPr>
                    <w:t>з)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2962EF">
                    <w:rPr>
                      <w:rFonts w:ascii="Times New Roman" w:eastAsia="Times New Roman" w:hAnsi="Times New Roman" w:cs="Times New Roman"/>
                      <w:sz w:val="24"/>
                      <w:szCs w:val="24"/>
                    </w:rPr>
                    <w:t xml:space="preserve"> муниципальных нужд";</w:t>
                  </w:r>
                  <w:r w:rsidRPr="002962EF">
                    <w:rPr>
                      <w:rFonts w:ascii="Times New Roman" w:eastAsia="Times New Roman" w:hAnsi="Times New Roman" w:cs="Times New Roman"/>
                      <w:sz w:val="24"/>
                      <w:szCs w:val="24"/>
                    </w:rPr>
                    <w:br/>
                    <w:t>и) участник не должен быть аффилирован к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w:t>
                  </w:r>
                  <w:r w:rsidRPr="002962EF">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2962EF">
                    <w:rPr>
                      <w:rFonts w:ascii="Times New Roman" w:eastAsia="Times New Roman" w:hAnsi="Times New Roman" w:cs="Times New Roman"/>
                      <w:sz w:val="24"/>
                      <w:szCs w:val="24"/>
                    </w:rPr>
                    <w:br/>
                  </w:r>
                  <w:proofErr w:type="gramStart"/>
                  <w:r w:rsidRPr="002962EF">
                    <w:rPr>
                      <w:rFonts w:ascii="Times New Roman" w:eastAsia="Times New Roman" w:hAnsi="Times New Roman" w:cs="Times New Roman"/>
                      <w:sz w:val="24"/>
                      <w:szCs w:val="24"/>
                    </w:rPr>
                    <w:t>л) отсутствие у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2962EF">
                    <w:rPr>
                      <w:rFonts w:ascii="Times New Roman" w:eastAsia="Times New Roman" w:hAnsi="Times New Roman" w:cs="Times New Roman"/>
                      <w:sz w:val="24"/>
                      <w:szCs w:val="24"/>
                    </w:rPr>
                    <w:br/>
                    <w:t xml:space="preserve">м) Отсутствие сведений о предстоящем исключении контрагента из </w:t>
                  </w:r>
                  <w:r w:rsidRPr="002962EF">
                    <w:rPr>
                      <w:rFonts w:ascii="Times New Roman" w:eastAsia="Times New Roman" w:hAnsi="Times New Roman" w:cs="Times New Roman"/>
                      <w:sz w:val="24"/>
                      <w:szCs w:val="24"/>
                    </w:rPr>
                    <w:lastRenderedPageBreak/>
                    <w:t>ЕГРЮЛ/ЕГРИП;</w:t>
                  </w:r>
                  <w:proofErr w:type="gramEnd"/>
                  <w:r w:rsidRPr="002962EF">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2962EF">
                    <w:rPr>
                      <w:rFonts w:ascii="Times New Roman" w:eastAsia="Times New Roman" w:hAnsi="Times New Roman" w:cs="Times New Roman"/>
                      <w:sz w:val="24"/>
                      <w:szCs w:val="24"/>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2962EF">
                    <w:rPr>
                      <w:rFonts w:ascii="Times New Roman" w:eastAsia="Times New Roman" w:hAnsi="Times New Roman" w:cs="Times New Roman"/>
                      <w:sz w:val="24"/>
                      <w:szCs w:val="24"/>
                    </w:rPr>
                    <w:br/>
                    <w:t>Результат проверки благонадежности Участника закупки оформляется заключением СЭБ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положительное заключение службы экономической безопасности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 (СЭБ ОАО "</w:t>
                  </w:r>
                  <w:proofErr w:type="spellStart"/>
                  <w:r w:rsidRPr="002962EF">
                    <w:rPr>
                      <w:rFonts w:ascii="Times New Roman" w:eastAsia="Times New Roman" w:hAnsi="Times New Roman" w:cs="Times New Roman"/>
                      <w:sz w:val="24"/>
                      <w:szCs w:val="24"/>
                    </w:rPr>
                    <w:t>Тюменьэнерго</w:t>
                  </w:r>
                  <w:proofErr w:type="spellEnd"/>
                  <w:r w:rsidRPr="002962EF">
                    <w:rPr>
                      <w:rFonts w:ascii="Times New Roman" w:eastAsia="Times New Roman" w:hAnsi="Times New Roman" w:cs="Times New Roman"/>
                      <w:sz w:val="24"/>
                      <w:szCs w:val="24"/>
                    </w:rPr>
                    <w:t>").</w:t>
                  </w:r>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proofErr w:type="gramStart"/>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sz w:val="24"/>
                      <w:szCs w:val="24"/>
                    </w:rPr>
                    <w:br/>
                    <w:t>Б</w:t>
                  </w:r>
                  <w:proofErr w:type="gramEnd"/>
                  <w:r w:rsidRPr="002962EF">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Конкурсная документация:</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hyperlink r:id="rId14" w:tgtFrame="_blank" w:history="1">
                    <w:r w:rsidRPr="002962EF">
                      <w:rPr>
                        <w:rFonts w:ascii="Times New Roman" w:eastAsia="Times New Roman" w:hAnsi="Times New Roman" w:cs="Times New Roman"/>
                        <w:color w:val="1C50A4"/>
                        <w:sz w:val="24"/>
                        <w:szCs w:val="24"/>
                        <w:u w:val="single"/>
                      </w:rPr>
                      <w:t>Скачать файл</w:t>
                    </w:r>
                    <w:r w:rsidRPr="002962EF">
                      <w:rPr>
                        <w:rFonts w:ascii="Times New Roman" w:eastAsia="Times New Roman" w:hAnsi="Times New Roman" w:cs="Times New Roman"/>
                        <w:color w:val="1C50A4"/>
                        <w:sz w:val="24"/>
                        <w:szCs w:val="24"/>
                      </w:rPr>
                      <w:t> </w:t>
                    </w:r>
                    <w:r w:rsidRPr="002962EF">
                      <w:rPr>
                        <w:rFonts w:ascii="Times New Roman" w:eastAsia="Times New Roman" w:hAnsi="Times New Roman" w:cs="Times New Roman"/>
                        <w:b/>
                        <w:bCs/>
                        <w:color w:val="1C50A4"/>
                        <w:sz w:val="24"/>
                        <w:szCs w:val="24"/>
                        <w:u w:val="single"/>
                      </w:rPr>
                      <w:t>КД.zip</w:t>
                    </w:r>
                  </w:hyperlink>
                  <w:r w:rsidRPr="002962EF">
                    <w:rPr>
                      <w:rFonts w:ascii="Times New Roman" w:eastAsia="Times New Roman" w:hAnsi="Times New Roman" w:cs="Times New Roman"/>
                      <w:sz w:val="24"/>
                      <w:szCs w:val="24"/>
                    </w:rPr>
                    <w:t> (27.8 Мб)</w:t>
                  </w:r>
                </w:p>
                <w:p w:rsidR="002962EF" w:rsidRPr="002962EF" w:rsidRDefault="002962EF" w:rsidP="002962EF">
                  <w:pPr>
                    <w:spacing w:after="0" w:line="240" w:lineRule="auto"/>
                    <w:rPr>
                      <w:rFonts w:ascii="Times New Roman" w:eastAsia="Times New Roman" w:hAnsi="Times New Roman" w:cs="Times New Roman"/>
                      <w:sz w:val="24"/>
                      <w:szCs w:val="24"/>
                    </w:rPr>
                  </w:pPr>
                  <w:hyperlink r:id="rId15" w:history="1">
                    <w:r w:rsidRPr="002962EF">
                      <w:rPr>
                        <w:rFonts w:ascii="Times New Roman" w:eastAsia="Times New Roman" w:hAnsi="Times New Roman" w:cs="Times New Roman"/>
                        <w:b/>
                        <w:bCs/>
                        <w:color w:val="1C50A4"/>
                        <w:sz w:val="24"/>
                        <w:szCs w:val="24"/>
                        <w:u w:val="single"/>
                      </w:rPr>
                      <w:t>Редактировать конкурсную документацию</w:t>
                    </w:r>
                  </w:hyperlink>
                </w:p>
                <w:p w:rsidR="002962EF" w:rsidRPr="002962EF" w:rsidRDefault="002962EF" w:rsidP="002962EF">
                  <w:pPr>
                    <w:spacing w:after="0" w:line="240" w:lineRule="auto"/>
                    <w:rPr>
                      <w:rFonts w:ascii="Times New Roman" w:eastAsia="Times New Roman" w:hAnsi="Times New Roman" w:cs="Times New Roman"/>
                      <w:sz w:val="24"/>
                      <w:szCs w:val="24"/>
                    </w:rPr>
                  </w:pPr>
                  <w:hyperlink r:id="rId16" w:tgtFrame="signature" w:history="1">
                    <w:r w:rsidRPr="002962EF">
                      <w:rPr>
                        <w:rFonts w:ascii="Times New Roman" w:eastAsia="Times New Roman" w:hAnsi="Times New Roman" w:cs="Times New Roman"/>
                        <w:color w:val="1C50A4"/>
                        <w:sz w:val="24"/>
                        <w:szCs w:val="24"/>
                        <w:u w:val="single"/>
                      </w:rPr>
                      <w:t>Подписана ЭП</w:t>
                    </w:r>
                  </w:hyperlink>
                </w:p>
                <w:p w:rsidR="002962EF" w:rsidRPr="002962EF" w:rsidRDefault="002962EF" w:rsidP="002962EF">
                  <w:pPr>
                    <w:spacing w:after="0" w:line="240" w:lineRule="auto"/>
                    <w:rPr>
                      <w:rFonts w:ascii="Times New Roman" w:eastAsia="Times New Roman" w:hAnsi="Times New Roman" w:cs="Times New Roman"/>
                      <w:sz w:val="24"/>
                      <w:szCs w:val="24"/>
                    </w:rPr>
                  </w:pPr>
                  <w:hyperlink r:id="rId17" w:history="1">
                    <w:r w:rsidRPr="002962EF">
                      <w:rPr>
                        <w:rFonts w:ascii="Times New Roman" w:eastAsia="Times New Roman" w:hAnsi="Times New Roman" w:cs="Times New Roman"/>
                        <w:color w:val="1C50A4"/>
                        <w:sz w:val="24"/>
                        <w:szCs w:val="24"/>
                        <w:u w:val="single"/>
                      </w:rPr>
                      <w:t>Перевести документацию на другой язык</w:t>
                    </w:r>
                  </w:hyperlink>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Порядок предоставления конкурсной документации:</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2962EF">
                    <w:rPr>
                      <w:rFonts w:ascii="Times New Roman" w:eastAsia="Times New Roman" w:hAnsi="Times New Roman" w:cs="Times New Roman"/>
                      <w:sz w:val="24"/>
                      <w:szCs w:val="24"/>
                    </w:rPr>
                    <w:t>с даты размещения</w:t>
                  </w:r>
                  <w:proofErr w:type="gramEnd"/>
                  <w:r w:rsidRPr="002962EF">
                    <w:rPr>
                      <w:rFonts w:ascii="Times New Roman" w:eastAsia="Times New Roman" w:hAnsi="Times New Roman" w:cs="Times New Roman"/>
                      <w:sz w:val="24"/>
                      <w:szCs w:val="24"/>
                    </w:rPr>
                    <w:t xml:space="preserve"> закупки.</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Конкурсные заявки:</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2962EF">
                    <w:rPr>
                      <w:rFonts w:ascii="Times New Roman" w:eastAsia="Times New Roman" w:hAnsi="Times New Roman" w:cs="Times New Roman"/>
                      <w:sz w:val="24"/>
                      <w:szCs w:val="24"/>
                    </w:rPr>
                    <w:t>дств в д</w:t>
                  </w:r>
                  <w:proofErr w:type="gramEnd"/>
                  <w:r w:rsidRPr="002962EF">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При выборе победителя учитывается:</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Цена с НДС</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lastRenderedPageBreak/>
                    <w:t>Место вскрытия конвертов:</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Вскрытие конвертов с заявками состоится </w:t>
                  </w:r>
                  <w:r w:rsidRPr="002962EF">
                    <w:rPr>
                      <w:rFonts w:ascii="Times New Roman" w:eastAsia="Times New Roman" w:hAnsi="Times New Roman" w:cs="Times New Roman"/>
                      <w:b/>
                      <w:bCs/>
                      <w:sz w:val="24"/>
                      <w:szCs w:val="24"/>
                    </w:rPr>
                    <w:t>13.11.2013 в 09:00 по московскому времени</w:t>
                  </w:r>
                  <w:r w:rsidRPr="002962EF">
                    <w:rPr>
                      <w:rFonts w:ascii="Times New Roman" w:eastAsia="Times New Roman" w:hAnsi="Times New Roman" w:cs="Times New Roman"/>
                      <w:sz w:val="24"/>
                      <w:szCs w:val="24"/>
                    </w:rPr>
                    <w:t>.</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02.12.2013 15:00</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Место рассмотрения предложений:</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12.12.2013 15:00</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Место подведения итогов:</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Победитель конкурса:</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2962EF">
                    <w:rPr>
                      <w:rFonts w:ascii="Times New Roman" w:eastAsia="Times New Roman" w:hAnsi="Times New Roman" w:cs="Times New Roman"/>
                      <w:sz w:val="24"/>
                      <w:szCs w:val="24"/>
                    </w:rPr>
                    <w:t>ранжировке</w:t>
                  </w:r>
                  <w:proofErr w:type="spellEnd"/>
                  <w:r w:rsidRPr="002962EF">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Лимитная (начальная) цена закупки:</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Лот № 1. 47 763 050,12 руб. (цена с НДС)</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Дополнительная информация о конкурсе:</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2962EF">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2962EF">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2962EF">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hyperlink r:id="rId18" w:history="1">
                    <w:r w:rsidRPr="002962EF">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3762"/>
                  </w:tblGrid>
                  <w:tr w:rsidR="002962EF" w:rsidRPr="002962EF">
                    <w:trPr>
                      <w:tblCellSpacing w:w="15" w:type="dxa"/>
                    </w:trPr>
                    <w:tc>
                      <w:tcPr>
                        <w:tcW w:w="3750" w:type="dxa"/>
                        <w:tcMar>
                          <w:top w:w="45" w:type="dxa"/>
                          <w:left w:w="45" w:type="dxa"/>
                          <w:bottom w:w="45" w:type="dxa"/>
                          <w:right w:w="45" w:type="dxa"/>
                        </w:tcMar>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b/>
                            <w:bCs/>
                            <w:sz w:val="24"/>
                            <w:szCs w:val="24"/>
                          </w:rPr>
                          <w:t>Извещение</w:t>
                        </w:r>
                      </w:p>
                      <w:p w:rsidR="002962EF" w:rsidRPr="002962EF" w:rsidRDefault="002962EF" w:rsidP="002962EF">
                        <w:pPr>
                          <w:spacing w:before="100" w:beforeAutospacing="1" w:after="100" w:afterAutospacing="1"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b/>
                            <w:bCs/>
                            <w:color w:val="006600"/>
                            <w:sz w:val="24"/>
                            <w:szCs w:val="24"/>
                          </w:rPr>
                          <w:t>Процедура выгружена</w:t>
                        </w:r>
                        <w:r w:rsidRPr="002962EF">
                          <w:rPr>
                            <w:rFonts w:ascii="Times New Roman" w:eastAsia="Times New Roman" w:hAnsi="Times New Roman" w:cs="Times New Roman"/>
                            <w:color w:val="006600"/>
                            <w:sz w:val="24"/>
                            <w:szCs w:val="24"/>
                          </w:rPr>
                          <w:br/>
                          <w:t>14.10.2013 11:20 (версия 1)</w:t>
                        </w:r>
                        <w:r w:rsidRPr="002962EF">
                          <w:rPr>
                            <w:rFonts w:ascii="Times New Roman" w:eastAsia="Times New Roman" w:hAnsi="Times New Roman" w:cs="Times New Roman"/>
                            <w:sz w:val="24"/>
                            <w:szCs w:val="24"/>
                          </w:rPr>
                          <w:t> </w:t>
                        </w:r>
                        <w:r w:rsidRPr="002962EF">
                          <w:rPr>
                            <w:rFonts w:ascii="Times New Roman" w:eastAsia="Times New Roman" w:hAnsi="Times New Roman" w:cs="Times New Roman"/>
                            <w:sz w:val="24"/>
                            <w:szCs w:val="24"/>
                          </w:rPr>
                          <w:br/>
                        </w:r>
                        <w:r w:rsidRPr="002962EF">
                          <w:rPr>
                            <w:rFonts w:ascii="Times New Roman" w:eastAsia="Times New Roman" w:hAnsi="Times New Roman" w:cs="Times New Roman"/>
                            <w:sz w:val="24"/>
                            <w:szCs w:val="24"/>
                          </w:rPr>
                          <w:lastRenderedPageBreak/>
                          <w:t>[</w:t>
                        </w:r>
                        <w:hyperlink r:id="rId19" w:history="1">
                          <w:r w:rsidRPr="002962EF">
                            <w:rPr>
                              <w:rFonts w:ascii="Times New Roman" w:eastAsia="Times New Roman" w:hAnsi="Times New Roman" w:cs="Times New Roman"/>
                              <w:color w:val="1C50A4"/>
                              <w:sz w:val="24"/>
                              <w:szCs w:val="24"/>
                              <w:u w:val="single"/>
                            </w:rPr>
                            <w:t>Выгрузить повторно</w:t>
                          </w:r>
                        </w:hyperlink>
                        <w:r w:rsidRPr="002962EF">
                          <w:rPr>
                            <w:rFonts w:ascii="Times New Roman" w:eastAsia="Times New Roman" w:hAnsi="Times New Roman" w:cs="Times New Roman"/>
                            <w:sz w:val="24"/>
                            <w:szCs w:val="24"/>
                          </w:rPr>
                          <w:t>]</w:t>
                        </w:r>
                      </w:p>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b/>
                            <w:bCs/>
                            <w:sz w:val="24"/>
                            <w:szCs w:val="24"/>
                          </w:rPr>
                          <w:t>Регистрационный номер</w:t>
                        </w:r>
                      </w:p>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color w:val="FF0000"/>
                            <w:sz w:val="24"/>
                            <w:szCs w:val="24"/>
                          </w:rPr>
                          <w:t xml:space="preserve">Не </w:t>
                        </w:r>
                        <w:proofErr w:type="gramStart"/>
                        <w:r w:rsidRPr="002962EF">
                          <w:rPr>
                            <w:rFonts w:ascii="Times New Roman" w:eastAsia="Times New Roman" w:hAnsi="Times New Roman" w:cs="Times New Roman"/>
                            <w:color w:val="FF0000"/>
                            <w:sz w:val="24"/>
                            <w:szCs w:val="24"/>
                          </w:rPr>
                          <w:t>задан</w:t>
                        </w:r>
                        <w:proofErr w:type="gramEnd"/>
                        <w:r w:rsidRPr="002962EF">
                          <w:rPr>
                            <w:rFonts w:ascii="Times New Roman" w:eastAsia="Times New Roman" w:hAnsi="Times New Roman" w:cs="Times New Roman"/>
                            <w:sz w:val="24"/>
                            <w:szCs w:val="24"/>
                          </w:rPr>
                          <w:t>. [</w:t>
                        </w:r>
                        <w:hyperlink r:id="rId20" w:history="1">
                          <w:r w:rsidRPr="002962EF">
                            <w:rPr>
                              <w:rFonts w:ascii="Times New Roman" w:eastAsia="Times New Roman" w:hAnsi="Times New Roman" w:cs="Times New Roman"/>
                              <w:color w:val="1C50A4"/>
                              <w:sz w:val="24"/>
                              <w:szCs w:val="24"/>
                              <w:u w:val="single"/>
                            </w:rPr>
                            <w:t>Задать</w:t>
                          </w:r>
                        </w:hyperlink>
                        <w:r w:rsidRPr="002962EF">
                          <w:rPr>
                            <w:rFonts w:ascii="Times New Roman" w:eastAsia="Times New Roman" w:hAnsi="Times New Roman" w:cs="Times New Roman"/>
                            <w:sz w:val="24"/>
                            <w:szCs w:val="24"/>
                          </w:rPr>
                          <w:t>]</w:t>
                        </w:r>
                      </w:p>
                      <w:p w:rsidR="002962EF" w:rsidRPr="002962EF" w:rsidRDefault="002962EF" w:rsidP="002962EF">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b/>
                            <w:bCs/>
                            <w:sz w:val="24"/>
                            <w:szCs w:val="24"/>
                          </w:rPr>
                          <w:lastRenderedPageBreak/>
                          <w:t>Протоколы</w:t>
                        </w:r>
                      </w:p>
                      <w:p w:rsidR="002962EF" w:rsidRPr="002962EF" w:rsidRDefault="002962EF" w:rsidP="002962EF">
                        <w:pPr>
                          <w:spacing w:before="100" w:beforeAutospacing="1" w:after="100" w:afterAutospacing="1"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Протоколы отсутствуют</w:t>
                        </w:r>
                      </w:p>
                    </w:tc>
                  </w:tr>
                </w:tbl>
                <w:p w:rsidR="002962EF" w:rsidRPr="002962EF" w:rsidRDefault="002962EF" w:rsidP="002962EF">
                  <w:pPr>
                    <w:spacing w:after="0" w:line="240" w:lineRule="auto"/>
                    <w:rPr>
                      <w:rFonts w:ascii="Times New Roman" w:eastAsia="Times New Roman" w:hAnsi="Times New Roman" w:cs="Times New Roman"/>
                      <w:sz w:val="24"/>
                      <w:szCs w:val="24"/>
                    </w:rPr>
                  </w:pPr>
                </w:p>
              </w:tc>
            </w:tr>
            <w:tr w:rsidR="002962EF" w:rsidRPr="002962EF">
              <w:trPr>
                <w:tblCellSpacing w:w="0" w:type="dxa"/>
              </w:trPr>
              <w:tc>
                <w:tcPr>
                  <w:tcW w:w="0" w:type="auto"/>
                  <w:shd w:val="clear" w:color="auto" w:fill="F7F7F7"/>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lastRenderedPageBreak/>
                    <w:t>Дата последнего редактирования:</w:t>
                  </w:r>
                </w:p>
              </w:tc>
              <w:tc>
                <w:tcPr>
                  <w:tcW w:w="0" w:type="auto"/>
                  <w:shd w:val="clear" w:color="auto" w:fill="F7F7F7"/>
                  <w:hideMark/>
                </w:tcPr>
                <w:p w:rsidR="002962EF" w:rsidRPr="002962EF" w:rsidRDefault="002962EF" w:rsidP="002962EF">
                  <w:pPr>
                    <w:spacing w:after="0" w:line="240" w:lineRule="auto"/>
                    <w:rPr>
                      <w:rFonts w:ascii="Times New Roman" w:eastAsia="Times New Roman" w:hAnsi="Times New Roman" w:cs="Times New Roman"/>
                      <w:sz w:val="24"/>
                      <w:szCs w:val="24"/>
                    </w:rPr>
                  </w:pPr>
                  <w:r w:rsidRPr="002962EF">
                    <w:rPr>
                      <w:rFonts w:ascii="Times New Roman" w:eastAsia="Times New Roman" w:hAnsi="Times New Roman" w:cs="Times New Roman"/>
                      <w:sz w:val="24"/>
                      <w:szCs w:val="24"/>
                    </w:rPr>
                    <w:t>14.10.2013 07:25, </w:t>
                  </w:r>
                  <w:proofErr w:type="spellStart"/>
                  <w:r w:rsidRPr="002962EF">
                    <w:rPr>
                      <w:rFonts w:ascii="Times New Roman" w:eastAsia="Times New Roman" w:hAnsi="Times New Roman" w:cs="Times New Roman"/>
                      <w:sz w:val="24"/>
                      <w:szCs w:val="24"/>
                    </w:rPr>
                    <w:fldChar w:fldCharType="begin"/>
                  </w:r>
                  <w:r w:rsidRPr="002962EF">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2962EF">
                    <w:rPr>
                      <w:rFonts w:ascii="Times New Roman" w:eastAsia="Times New Roman" w:hAnsi="Times New Roman" w:cs="Times New Roman"/>
                      <w:sz w:val="24"/>
                      <w:szCs w:val="24"/>
                    </w:rPr>
                    <w:fldChar w:fldCharType="separate"/>
                  </w:r>
                  <w:r w:rsidRPr="002962EF">
                    <w:rPr>
                      <w:rFonts w:ascii="Times New Roman" w:eastAsia="Times New Roman" w:hAnsi="Times New Roman" w:cs="Times New Roman"/>
                      <w:color w:val="1C50A4"/>
                      <w:sz w:val="24"/>
                      <w:szCs w:val="24"/>
                      <w:u w:val="single"/>
                    </w:rPr>
                    <w:t>Туниекова</w:t>
                  </w:r>
                  <w:proofErr w:type="spellEnd"/>
                  <w:r w:rsidRPr="002962EF">
                    <w:rPr>
                      <w:rFonts w:ascii="Times New Roman" w:eastAsia="Times New Roman" w:hAnsi="Times New Roman" w:cs="Times New Roman"/>
                      <w:color w:val="1C50A4"/>
                      <w:sz w:val="24"/>
                      <w:szCs w:val="24"/>
                      <w:u w:val="single"/>
                    </w:rPr>
                    <w:t xml:space="preserve"> Ольга Юрьевна</w:t>
                  </w:r>
                  <w:r w:rsidRPr="002962EF">
                    <w:rPr>
                      <w:rFonts w:ascii="Times New Roman" w:eastAsia="Times New Roman" w:hAnsi="Times New Roman" w:cs="Times New Roman"/>
                      <w:sz w:val="24"/>
                      <w:szCs w:val="24"/>
                    </w:rPr>
                    <w:fldChar w:fldCharType="end"/>
                  </w:r>
                </w:p>
              </w:tc>
            </w:tr>
            <w:tr w:rsidR="002962EF" w:rsidRPr="002962EF">
              <w:trPr>
                <w:tblCellSpacing w:w="0" w:type="dxa"/>
              </w:trPr>
              <w:tc>
                <w:tcPr>
                  <w:tcW w:w="0" w:type="auto"/>
                  <w:hideMark/>
                </w:tcPr>
                <w:p w:rsidR="002962EF" w:rsidRPr="002962EF" w:rsidRDefault="002962EF" w:rsidP="002962EF">
                  <w:pPr>
                    <w:spacing w:after="0" w:line="240" w:lineRule="auto"/>
                    <w:jc w:val="right"/>
                    <w:rPr>
                      <w:rFonts w:ascii="Times New Roman" w:eastAsia="Times New Roman" w:hAnsi="Times New Roman" w:cs="Times New Roman"/>
                      <w:sz w:val="18"/>
                      <w:szCs w:val="18"/>
                    </w:rPr>
                  </w:pPr>
                  <w:r w:rsidRPr="002962EF">
                    <w:rPr>
                      <w:rFonts w:ascii="Times New Roman" w:eastAsia="Times New Roman" w:hAnsi="Times New Roman" w:cs="Times New Roman"/>
                      <w:sz w:val="18"/>
                      <w:szCs w:val="18"/>
                    </w:rPr>
                    <w:t>Информация о подписи:</w:t>
                  </w:r>
                </w:p>
              </w:tc>
              <w:tc>
                <w:tcPr>
                  <w:tcW w:w="0" w:type="auto"/>
                  <w:hideMark/>
                </w:tcPr>
                <w:p w:rsidR="002962EF" w:rsidRPr="002962EF" w:rsidRDefault="002962EF" w:rsidP="002962EF">
                  <w:pPr>
                    <w:spacing w:after="0" w:line="240" w:lineRule="auto"/>
                    <w:rPr>
                      <w:rFonts w:ascii="Times New Roman" w:eastAsia="Times New Roman" w:hAnsi="Times New Roman" w:cs="Times New Roman"/>
                      <w:sz w:val="24"/>
                      <w:szCs w:val="24"/>
                    </w:rPr>
                  </w:pPr>
                  <w:hyperlink r:id="rId21" w:tgtFrame="signature" w:history="1">
                    <w:r w:rsidRPr="002962EF">
                      <w:rPr>
                        <w:rFonts w:ascii="Times New Roman" w:eastAsia="Times New Roman" w:hAnsi="Times New Roman" w:cs="Times New Roman"/>
                        <w:color w:val="1C50A4"/>
                        <w:sz w:val="24"/>
                        <w:szCs w:val="24"/>
                        <w:u w:val="single"/>
                      </w:rPr>
                      <w:t>Подписано ЭП</w:t>
                    </w:r>
                  </w:hyperlink>
                </w:p>
              </w:tc>
            </w:tr>
          </w:tbl>
          <w:p w:rsidR="002962EF" w:rsidRPr="002962EF" w:rsidRDefault="002962EF" w:rsidP="002962EF">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2EF"/>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2EF"/>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873388">
      <w:bodyDiv w:val="1"/>
      <w:marLeft w:val="0"/>
      <w:marRight w:val="0"/>
      <w:marTop w:val="0"/>
      <w:marBottom w:val="0"/>
      <w:divBdr>
        <w:top w:val="none" w:sz="0" w:space="0" w:color="auto"/>
        <w:left w:val="none" w:sz="0" w:space="0" w:color="auto"/>
        <w:bottom w:val="none" w:sz="0" w:space="0" w:color="auto"/>
        <w:right w:val="none" w:sz="0" w:space="0" w:color="auto"/>
      </w:divBdr>
      <w:divsChild>
        <w:div w:id="902521814">
          <w:marLeft w:val="0"/>
          <w:marRight w:val="15"/>
          <w:marTop w:val="0"/>
          <w:marBottom w:val="30"/>
          <w:divBdr>
            <w:top w:val="none" w:sz="0" w:space="0" w:color="auto"/>
            <w:left w:val="none" w:sz="0" w:space="0" w:color="auto"/>
            <w:bottom w:val="none" w:sz="0" w:space="0" w:color="auto"/>
            <w:right w:val="none" w:sz="0" w:space="0" w:color="auto"/>
          </w:divBdr>
        </w:div>
        <w:div w:id="990258409">
          <w:marLeft w:val="0"/>
          <w:marRight w:val="15"/>
          <w:marTop w:val="0"/>
          <w:marBottom w:val="30"/>
          <w:divBdr>
            <w:top w:val="none" w:sz="0" w:space="0" w:color="auto"/>
            <w:left w:val="none" w:sz="0" w:space="0" w:color="auto"/>
            <w:bottom w:val="none" w:sz="0" w:space="0" w:color="auto"/>
            <w:right w:val="none" w:sz="0" w:space="0" w:color="auto"/>
          </w:divBdr>
        </w:div>
        <w:div w:id="27996650">
          <w:marLeft w:val="0"/>
          <w:marRight w:val="15"/>
          <w:marTop w:val="0"/>
          <w:marBottom w:val="30"/>
          <w:divBdr>
            <w:top w:val="none" w:sz="0" w:space="0" w:color="auto"/>
            <w:left w:val="none" w:sz="0" w:space="0" w:color="auto"/>
            <w:bottom w:val="none" w:sz="0" w:space="0" w:color="auto"/>
            <w:right w:val="none" w:sz="0" w:space="0" w:color="auto"/>
          </w:divBdr>
        </w:div>
        <w:div w:id="1662191966">
          <w:marLeft w:val="0"/>
          <w:marRight w:val="15"/>
          <w:marTop w:val="0"/>
          <w:marBottom w:val="30"/>
          <w:divBdr>
            <w:top w:val="none" w:sz="0" w:space="0" w:color="auto"/>
            <w:left w:val="none" w:sz="0" w:space="0" w:color="auto"/>
            <w:bottom w:val="none" w:sz="0" w:space="0" w:color="auto"/>
            <w:right w:val="none" w:sz="0" w:space="0" w:color="auto"/>
          </w:divBdr>
        </w:div>
        <w:div w:id="1571842561">
          <w:marLeft w:val="0"/>
          <w:marRight w:val="15"/>
          <w:marTop w:val="0"/>
          <w:marBottom w:val="30"/>
          <w:divBdr>
            <w:top w:val="none" w:sz="0" w:space="0" w:color="auto"/>
            <w:left w:val="none" w:sz="0" w:space="0" w:color="auto"/>
            <w:bottom w:val="none" w:sz="0" w:space="0" w:color="auto"/>
            <w:right w:val="none" w:sz="0" w:space="0" w:color="auto"/>
          </w:divBdr>
        </w:div>
        <w:div w:id="1467622084">
          <w:marLeft w:val="0"/>
          <w:marRight w:val="15"/>
          <w:marTop w:val="0"/>
          <w:marBottom w:val="30"/>
          <w:divBdr>
            <w:top w:val="none" w:sz="0" w:space="0" w:color="auto"/>
            <w:left w:val="none" w:sz="0" w:space="0" w:color="auto"/>
            <w:bottom w:val="none" w:sz="0" w:space="0" w:color="auto"/>
            <w:right w:val="none" w:sz="0" w:space="0" w:color="auto"/>
          </w:divBdr>
        </w:div>
        <w:div w:id="735056454">
          <w:marLeft w:val="0"/>
          <w:marRight w:val="60"/>
          <w:marTop w:val="60"/>
          <w:marBottom w:val="60"/>
          <w:divBdr>
            <w:top w:val="none" w:sz="0" w:space="0" w:color="auto"/>
            <w:left w:val="none" w:sz="0" w:space="0" w:color="auto"/>
            <w:bottom w:val="none" w:sz="0" w:space="0" w:color="auto"/>
            <w:right w:val="none" w:sz="0" w:space="0" w:color="auto"/>
          </w:divBdr>
          <w:divsChild>
            <w:div w:id="1171794097">
              <w:marLeft w:val="0"/>
              <w:marRight w:val="0"/>
              <w:marTop w:val="0"/>
              <w:marBottom w:val="0"/>
              <w:divBdr>
                <w:top w:val="none" w:sz="0" w:space="0" w:color="auto"/>
                <w:left w:val="none" w:sz="0" w:space="0" w:color="auto"/>
                <w:bottom w:val="none" w:sz="0" w:space="0" w:color="auto"/>
                <w:right w:val="none" w:sz="0" w:space="0" w:color="auto"/>
              </w:divBdr>
            </w:div>
          </w:divsChild>
        </w:div>
        <w:div w:id="643780873">
          <w:marLeft w:val="0"/>
          <w:marRight w:val="0"/>
          <w:marTop w:val="0"/>
          <w:marBottom w:val="0"/>
          <w:divBdr>
            <w:top w:val="none" w:sz="0" w:space="0" w:color="auto"/>
            <w:left w:val="none" w:sz="0" w:space="0" w:color="auto"/>
            <w:bottom w:val="none" w:sz="0" w:space="0" w:color="auto"/>
            <w:right w:val="none" w:sz="0" w:space="0" w:color="auto"/>
          </w:divBdr>
        </w:div>
        <w:div w:id="1755396729">
          <w:marLeft w:val="0"/>
          <w:marRight w:val="0"/>
          <w:marTop w:val="0"/>
          <w:marBottom w:val="0"/>
          <w:divBdr>
            <w:top w:val="none" w:sz="0" w:space="0" w:color="auto"/>
            <w:left w:val="none" w:sz="0" w:space="0" w:color="auto"/>
            <w:bottom w:val="none" w:sz="0" w:space="0" w:color="auto"/>
            <w:right w:val="none" w:sz="0" w:space="0" w:color="auto"/>
          </w:divBdr>
        </w:div>
        <w:div w:id="1440757975">
          <w:marLeft w:val="0"/>
          <w:marRight w:val="0"/>
          <w:marTop w:val="0"/>
          <w:marBottom w:val="0"/>
          <w:divBdr>
            <w:top w:val="none" w:sz="0" w:space="0" w:color="auto"/>
            <w:left w:val="none" w:sz="0" w:space="0" w:color="auto"/>
            <w:bottom w:val="none" w:sz="0" w:space="0" w:color="auto"/>
            <w:right w:val="none" w:sz="0" w:space="0" w:color="auto"/>
          </w:divBdr>
        </w:div>
        <w:div w:id="392511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15&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315" TargetMode="External"/><Relationship Id="rId3" Type="http://schemas.openxmlformats.org/officeDocument/2006/relationships/settings" Target="settings.xml"/><Relationship Id="rId21" Type="http://schemas.openxmlformats.org/officeDocument/2006/relationships/hyperlink" Target="http://www.b2b-mrsk.ru/market/view_tender.html?id=37315&amp;action=signed_doc&amp;key=tender" TargetMode="External"/><Relationship Id="rId7" Type="http://schemas.openxmlformats.org/officeDocument/2006/relationships/hyperlink" Target="http://www.b2b-mrsk.ru/market/view_tender.html?id=37315&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315"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315&amp;action=signed_doc&amp;key=docs" TargetMode="External"/><Relationship Id="rId20" Type="http://schemas.openxmlformats.org/officeDocument/2006/relationships/hyperlink" Target="http://www.b2b-mrsk.ru/market/view_tender.html?id=37315" TargetMode="External"/><Relationship Id="rId1" Type="http://schemas.openxmlformats.org/officeDocument/2006/relationships/styles" Target="styles.xml"/><Relationship Id="rId6" Type="http://schemas.openxmlformats.org/officeDocument/2006/relationships/hyperlink" Target="http://www.b2b-mrsk.ru/market/view_tender.html?id=37315&amp;action=explanation" TargetMode="External"/><Relationship Id="rId11" Type="http://schemas.openxmlformats.org/officeDocument/2006/relationships/hyperlink" Target="http://www.b2b-mrsk.ru/market/list_tenders.html?all=0&amp;cat_id=96023010&amp;open=1" TargetMode="External"/><Relationship Id="rId5" Type="http://schemas.openxmlformats.org/officeDocument/2006/relationships/hyperlink" Target="http://www.b2b-mrsk.ru/market/view_tender.html?id=37315&amp;show=lots" TargetMode="External"/><Relationship Id="rId15" Type="http://schemas.openxmlformats.org/officeDocument/2006/relationships/hyperlink" Target="http://www.b2b-mrsk.ru/market/edit_tender.html?id=37315&amp;action=docs" TargetMode="External"/><Relationship Id="rId23" Type="http://schemas.openxmlformats.org/officeDocument/2006/relationships/theme" Target="theme/theme1.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315&amp;zgr=add_to_queue" TargetMode="External"/><Relationship Id="rId4" Type="http://schemas.openxmlformats.org/officeDocument/2006/relationships/webSettings" Target="webSettings.xml"/><Relationship Id="rId9" Type="http://schemas.openxmlformats.org/officeDocument/2006/relationships/hyperlink" Target="http://www.b2b-mrsk.ru/market/view_tender.html?id=37315&amp;show=statistics" TargetMode="External"/><Relationship Id="rId14" Type="http://schemas.openxmlformats.org/officeDocument/2006/relationships/hyperlink" Target="http://www.b2b-mrsk.ru/download.html?file=file%2F6115781.zip&amp;title=%D0%9A%D0%94.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2013-10-14T11:40:00Z</dcterms:created>
  <dcterms:modified xsi:type="dcterms:W3CDTF">2013-10-14T11:41:00Z</dcterms:modified>
</cp:coreProperties>
</file>