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F7" w:rsidRPr="003B39F7" w:rsidRDefault="003B39F7" w:rsidP="003B39F7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b/>
          <w:color w:val="333333"/>
          <w:kern w:val="36"/>
          <w:lang w:eastAsia="ru-RU"/>
        </w:rPr>
      </w:pPr>
      <w:r w:rsidRPr="003B39F7">
        <w:rPr>
          <w:rFonts w:ascii="Arial" w:eastAsia="Times New Roman" w:hAnsi="Arial" w:cs="Arial"/>
          <w:b/>
          <w:color w:val="333333"/>
          <w:kern w:val="36"/>
          <w:lang w:eastAsia="ru-RU"/>
        </w:rPr>
        <w:t xml:space="preserve">Запрос предложений (объявление о покупке) № 189559. Открытый запрос предложений на право заключения Договора </w:t>
      </w:r>
      <w:proofErr w:type="gramStart"/>
      <w:r w:rsidRPr="003B39F7">
        <w:rPr>
          <w:rFonts w:ascii="Arial" w:eastAsia="Times New Roman" w:hAnsi="Arial" w:cs="Arial"/>
          <w:b/>
          <w:color w:val="333333"/>
          <w:kern w:val="36"/>
          <w:lang w:eastAsia="ru-RU"/>
        </w:rPr>
        <w:t>на</w:t>
      </w:r>
      <w:proofErr w:type="gramEnd"/>
      <w:r w:rsidRPr="003B39F7">
        <w:rPr>
          <w:rFonts w:ascii="Arial" w:eastAsia="Times New Roman" w:hAnsi="Arial" w:cs="Arial"/>
          <w:b/>
          <w:color w:val="333333"/>
          <w:kern w:val="36"/>
          <w:lang w:eastAsia="ru-RU"/>
        </w:rPr>
        <w:t>...</w:t>
      </w:r>
    </w:p>
    <w:p w:rsidR="003B39F7" w:rsidRPr="003B39F7" w:rsidRDefault="003B39F7" w:rsidP="003B39F7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lang w:eastAsia="ru-RU"/>
        </w:rPr>
      </w:pPr>
      <w:r w:rsidRPr="003B39F7">
        <w:rPr>
          <w:rFonts w:ascii="Arial" w:eastAsia="Times New Roman" w:hAnsi="Arial" w:cs="Arial"/>
          <w:color w:val="FF0000"/>
          <w:lang w:eastAsia="ru-RU"/>
        </w:rPr>
        <w:t>Объявление успешно размещено.</w:t>
      </w:r>
    </w:p>
    <w:p w:rsidR="003B39F7" w:rsidRPr="003B39F7" w:rsidRDefault="003B39F7" w:rsidP="003B39F7">
      <w:pPr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B39F7" w:rsidRPr="003B39F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B39F7" w:rsidRPr="003B39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3B39F7" w:rsidRPr="003B39F7" w:rsidRDefault="003B39F7" w:rsidP="003B39F7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техническому обслуживанию радиорелейной линии связи </w:t>
                  </w:r>
                  <w:proofErr w:type="spellStart"/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Сургут-Когалым-Ноябрьск</w:t>
                  </w:r>
                  <w:proofErr w:type="spellEnd"/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Сургут-Нижневарто</w:t>
                  </w:r>
                  <w:proofErr w:type="gramStart"/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вск дл</w:t>
                  </w:r>
                  <w:proofErr w:type="gramEnd"/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я нужд ОАО «</w:t>
                  </w:r>
                  <w:proofErr w:type="spellStart"/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</w:t>
                  </w:r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Техническое обслуживание радиорелейной линии связи </w:t>
                  </w:r>
                  <w:proofErr w:type="spellStart"/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Сургут-Когалым-Ноябрьск</w:t>
                  </w:r>
                  <w:proofErr w:type="spellEnd"/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, Сургут-Нижневартовск для нужд ОАО «</w:t>
                  </w:r>
                  <w:proofErr w:type="spellStart"/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(Техобслуживание)</w:t>
                  </w:r>
                </w:p>
              </w:tc>
            </w:tr>
            <w:tr w:rsidR="003B39F7" w:rsidRPr="003B39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3020323 </w:t>
                        </w:r>
                        <w:hyperlink r:id="rId4" w:history="1"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Комплектующие и запасные части устройств и блоков питания ЭВМ</w:t>
                          </w:r>
                        </w:hyperlink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3020407 </w:t>
                        </w:r>
                        <w:hyperlink r:id="rId5" w:history="1"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Комплектующие и запасные части устройств комплексирования ЭВМ</w:t>
                          </w:r>
                        </w:hyperlink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3020549 </w:t>
                        </w:r>
                        <w:hyperlink r:id="rId6" w:history="1"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Комплектующие и запасные части устройств сервисных ЭВМ</w:t>
                          </w:r>
                        </w:hyperlink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3222550 </w:t>
                        </w:r>
                        <w:proofErr w:type="spell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begin"/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instrText xml:space="preserve"> HYPERLINK "http://www.b2b-mrsk.ru/market/list.html?bookmarks=0&amp;all=0&amp;type=4&amp;cat_id=43222550" </w:instrText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  <w:r w:rsidRPr="003B39F7">
                          <w:rPr>
                            <w:rFonts w:ascii="Arial" w:eastAsia="Times New Roman" w:hAnsi="Arial" w:cs="Arial"/>
                            <w:color w:val="1C50A4"/>
                            <w:sz w:val="20"/>
                            <w:szCs w:val="20"/>
                            <w:lang w:eastAsia="ru-RU"/>
                          </w:rPr>
                          <w:t>Внутриобъектовые</w:t>
                        </w:r>
                        <w:proofErr w:type="spellEnd"/>
                        <w:r w:rsidRPr="003B39F7">
                          <w:rPr>
                            <w:rFonts w:ascii="Arial" w:eastAsia="Times New Roman" w:hAnsi="Arial" w:cs="Arial"/>
                            <w:color w:val="1C50A4"/>
                            <w:sz w:val="20"/>
                            <w:szCs w:val="20"/>
                            <w:lang w:eastAsia="ru-RU"/>
                          </w:rPr>
                          <w:t xml:space="preserve"> системы связи оптоволоконные</w:t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3222560 </w:t>
                        </w:r>
                        <w:hyperlink r:id="rId7" w:history="1"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Элементы и устройства для оптоволоконных систем связи</w:t>
                          </w:r>
                        </w:hyperlink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3 386 283,12 руб. (Цена с НДС)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3 386 283,12 руб. (Цена с НДС)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С(</w:t>
                        </w:r>
                        <w:proofErr w:type="gramEnd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begin"/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instrText xml:space="preserve"> HYPERLINK "http://www.b2b-mrsk.ru/market/view.html?id=189559&amp;switch_price_both_view=1" </w:instrText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  <w:r w:rsidRPr="003B39F7">
                          <w:rPr>
                            <w:rFonts w:ascii="Arial" w:eastAsia="Times New Roman" w:hAnsi="Arial" w:cs="Arial"/>
                            <w:color w:val="1C50A4"/>
                            <w:sz w:val="20"/>
                            <w:szCs w:val="20"/>
                            <w:lang w:eastAsia="ru-RU"/>
                          </w:rPr>
                          <w:t>показывать обе цены</w:t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07.11.2012 07:31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19.11.2012 11:16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07.11.2012 07:31, </w:t>
                        </w:r>
                        <w:hyperlink r:id="rId8" w:tgtFrame="_blank" w:tooltip="Отправить личное сообщение" w:history="1"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3B39F7" w:rsidRPr="003B39F7" w:rsidRDefault="003B39F7" w:rsidP="003B39F7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B39F7" w:rsidRPr="003B39F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3B39F7" w:rsidRPr="003B39F7" w:rsidRDefault="003B39F7" w:rsidP="003B39F7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B39F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B39F7" w:rsidRPr="003B39F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торговая процедура</w:t>
                        </w:r>
                        <w:r w:rsidRPr="003B39F7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3B39F7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B39F7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Организатор не будет рассматривать </w:t>
                        </w:r>
                        <w:proofErr w:type="gramStart"/>
                        <w:r w:rsidRPr="003B39F7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предложения</w:t>
                        </w:r>
                        <w:proofErr w:type="gramEnd"/>
                        <w:r w:rsidRPr="003B39F7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 xml:space="preserve"> которые не были подкреплены документацией.</w:t>
                        </w:r>
                      </w:p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Pr="003B39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ОЗП 2012.0665 ТО </w:t>
                          </w:r>
                          <w:proofErr w:type="spellStart"/>
                          <w:r w:rsidRPr="003B39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РРЛ.zip</w:t>
                          </w:r>
                          <w:proofErr w:type="spellEnd"/>
                        </w:hyperlink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(11.0 Мб)</w:t>
                        </w:r>
                      </w:p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3B39F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В соответствии с п.3 Проекта договора– </w:t>
                        </w:r>
                        <w:proofErr w:type="gram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</w:t>
                        </w:r>
                        <w:proofErr w:type="gramEnd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оизводится ежемесячно за фактически выполненные работы в течение 15 рабочих дней с даты подписания Акта сдачи-приемки путем перечисления денежных средств на </w:t>
                        </w:r>
                        <w:proofErr w:type="spell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</w:t>
                        </w:r>
                        <w:proofErr w:type="spellEnd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/</w:t>
                        </w:r>
                        <w:proofErr w:type="spell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сч</w:t>
                        </w:r>
                        <w:proofErr w:type="spellEnd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Подрядчика.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п.8. Технического задания и графиком выполнения работ срок выполнения работ: с момента подписания договора по 30.11.2013.</w:t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Место, условия выполнения работ – в соответствии с Техническим заданием.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17.12.2012 11:00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рассмотрения предложений – 07.12.2012.</w:t>
                        </w: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подведения итогов закупки – 17.12.2012.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B39F7" w:rsidRPr="003B39F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3B39F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39F7" w:rsidRPr="003B39F7" w:rsidRDefault="003B39F7" w:rsidP="003B39F7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3B39F7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B39F7" w:rsidRPr="003B39F7" w:rsidRDefault="003B39F7" w:rsidP="003B39F7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B39F7" w:rsidRPr="003B39F7" w:rsidRDefault="003B39F7" w:rsidP="003B39F7">
            <w:pPr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39F7"/>
    <w:rsid w:val="002B35EF"/>
    <w:rsid w:val="003B39F7"/>
    <w:rsid w:val="00893350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3B39F7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9F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B39F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B39F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B39F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B39F7"/>
    <w:rPr>
      <w:color w:val="FF0000"/>
    </w:rPr>
  </w:style>
  <w:style w:type="character" w:customStyle="1" w:styleId="userlinkmenu">
    <w:name w:val="userlink_menu"/>
    <w:basedOn w:val="a0"/>
    <w:rsid w:val="003B39F7"/>
  </w:style>
  <w:style w:type="character" w:customStyle="1" w:styleId="floathint-marker">
    <w:name w:val="floathint-marker"/>
    <w:basedOn w:val="a0"/>
    <w:rsid w:val="003B39F7"/>
  </w:style>
  <w:style w:type="paragraph" w:styleId="a5">
    <w:name w:val="Balloon Text"/>
    <w:basedOn w:val="a"/>
    <w:link w:val="a6"/>
    <w:uiPriority w:val="99"/>
    <w:semiHidden/>
    <w:unhideWhenUsed/>
    <w:rsid w:val="003B39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057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97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84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2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download.html?file=file%2F3582835.zip&amp;title=%D0%9E%D0%97%D0%9F+2012.0665+%D0%A2%D0%9E+%D0%A0%D0%A0%D0%9B.zi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3222560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189559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020549" TargetMode="External"/><Relationship Id="rId11" Type="http://schemas.openxmlformats.org/officeDocument/2006/relationships/hyperlink" Target="mailto:DurasovaN%40id.te.ru" TargetMode="External"/><Relationship Id="rId5" Type="http://schemas.openxmlformats.org/officeDocument/2006/relationships/hyperlink" Target="http://www.b2b-mrsk.ru/market/list.html?bookmarks=0&amp;all=0&amp;type=4&amp;cat_id=43020407" TargetMode="External"/><Relationship Id="rId15" Type="http://schemas.openxmlformats.org/officeDocument/2006/relationships/hyperlink" Target="http://www.b2b-mrsk.ru/market/view.html?id=189559&amp;action=signed_doc&amp;key=auction_docs" TargetMode="Externa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43020323" TargetMode="External"/><Relationship Id="rId9" Type="http://schemas.openxmlformats.org/officeDocument/2006/relationships/hyperlink" Target="http://www.b2b-mrsk.ru/popups/send_message.html?action=send&amp;to=38965" TargetMode="External"/><Relationship Id="rId14" Type="http://schemas.openxmlformats.org/officeDocument/2006/relationships/hyperlink" Target="http://www.b2b-mrsk.ru/market/edit.html?id=189559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5148</Characters>
  <Application>Microsoft Office Word</Application>
  <DocSecurity>0</DocSecurity>
  <Lines>42</Lines>
  <Paragraphs>12</Paragraphs>
  <ScaleCrop>false</ScaleCrop>
  <Company>OAO TE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2012-11-07T03:32:00Z</dcterms:created>
  <dcterms:modified xsi:type="dcterms:W3CDTF">2012-11-07T03:34:00Z</dcterms:modified>
</cp:coreProperties>
</file>