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82"/>
        <w:gridCol w:w="4923"/>
      </w:tblGrid>
      <w:tr w:rsidR="008579AC" w:rsidRPr="008579A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579AC" w:rsidRPr="008579AC" w:rsidRDefault="008579AC" w:rsidP="00857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9821"/>
            <w:bookmarkEnd w:id="0"/>
            <w:r w:rsidRPr="00857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8579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579AC" w:rsidRPr="008579AC" w:rsidRDefault="005E1E3B" w:rsidP="00857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="008579AC" w:rsidRPr="008579AC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Дмитриев Олег Игоревич</w:t>
              </w:r>
            </w:hyperlink>
            <w:r w:rsidR="008579AC"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="008579AC" w:rsidRPr="008579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"МУБ"</w:t>
              </w:r>
            </w:hyperlink>
            <w:r w:rsidR="008579AC"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16.10.2014 07:37 </w:t>
            </w:r>
          </w:p>
        </w:tc>
      </w:tr>
      <w:tr w:rsidR="008579AC" w:rsidRPr="008579A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579AC" w:rsidRPr="008579AC" w:rsidRDefault="008579AC" w:rsidP="008579A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79AC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22.10.2014 12:26</w:t>
            </w:r>
          </w:p>
          <w:p w:rsidR="008579AC" w:rsidRPr="008579AC" w:rsidRDefault="008579AC" w:rsidP="008579AC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соответствии с п. 3.4.8.1 конкурсной документации прошу дать пояснения относительно перечисленных ниже положений, в том числе, если применимо, указать последствия несоблюдения требований и способ устранения несоответствия конкурсным условиям.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1.Касательно подтверждения опыта осуществления частной охранной деятельности.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34.5 информационной карты участнику желательно иметь опыт выполнения аналогичных договоров, в сопоставимых с предметом закупки объемах (в денежном выражении) за последние 3 года, в том числе за 2014 год.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Аналогичными договорами являются завершенные договоры на оказание услуг по охране (2011-2014).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соответствии с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34.6 информационной карты участнику желательно обладать опытом работ в сфере услуг по охране объектов топливно-энергетического комплекса в районах Крайнего Севера и районах, приравненных к Крайнему Северу (для Ямало-Ненецкого автономного округа и Ханты-Мансийского автономного округа -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Югры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не менее 3 лет.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соответствии с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34.7 информационной карты участнику желательно иметь положительную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репу-тацию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подтвержденную отзывами о выполнении аналогичных договоров за последние 3 года, в том числе по договорам 2014 года (заверенные Участником копии). При проведении оценки заявок Участников,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Организа-тором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будут учитываться отзывы только по исполненным договорам, указанным в справке о перечне и годовых объемах выполнения аналогичных договоров. В случае несоответствия указанным требованиям, отзыв Участника не учитывается.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1.Является несоответствие участника требованиям, обозначенным в пунктах 34.5., 34.6., 34.7.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информа-ционной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карты, основанием для отказа в допуске к участию в конкурсе;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2.Причины и обстоятельства, по которым не учитывается опыт осуществления деятельности в 2014 году;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3.Допустимость использования иных применимых характеристик участника, сведений, информации, документов для подтверждения обстоятельств, которые организатор закупки намерен подтвердить, выяснить посредством апелляции к сведениям, предоставляемым в соответствии с пунктами 34.5., 34.6., 34.7.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информа-ционной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карты.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2.Касательно материально-технического обеспечения исполнения договора.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В соответствии с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34.14, а так же п. 35.5.2 информационной карты участник должен иметь в собственности или по договору аренды комнату для хранения оружия, с приложением копии документов (заверенных участником), подтверждающих право собственности или аренды комнаты хранения оружия на территории оказания охранных услуг, право на заключение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договора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которых является предметом конкурса, срок действия которых должен быть не меньше срока оказания услуг по договору,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заключение которого является предметом конкурса, а также акты обследования комнаты оружия органами ОЛРР территориальных подразделений по месту оказания услуг; комиссионный акт обследования комнаты хранения оружия и боеприпасов к нему органами ОЛРР территориальных подразделений по месту оказания услуг; последний акт о проведении инвентаризации служебного оружия и патронов к нему органами ОЛРР территориальных подразделений по месту оказания услуг; приказ о назначении лиц, ответственных за проведение инвентаризационной комиссии органами ОЛРР территориальных подразделений по месту оказания услуг.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соответствии с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34.14 информационной карты участник должен иметь не менее одной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собствен-ной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дежурной части, которая должна располагаться в собственном или арендованном помещении на территории расположения объектов Заказчика, являющихся предметом настоящего договора (Ханты-Мансийского автономного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округа-Югры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Ямало-Ненецкого автономного округа, Тюменской области).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соответствии с п.35.5.4 информационной карты конкурсной документации участник должен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предста-вить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заверенные копию ПТС и/или договора аренды автотранспорта на весь период оказания услуг по договору,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заключение которого является предметом настоящего Конкурса.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России, а некоторые из требований и вовсе невыполнимы для претендента из иного региона во временном интервале с даты объявления о торгах до даты окончания срока приёма заявок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 учётом изложенных обстоятельств 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1.Допустимо ли предоставление для целей обоснования соответствия обозначенным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34.14, п. 35.5.2 информационной карты критериям документов: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подтверждающих возможность заключения договора аренды со сроком действия не менее чем на три года, в частности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предварительного договора аренды;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безусловного обязательства выполнить действия, направленные на проведение требуемых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контроль-ных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мероприятий уполномоченных органов в отношении оружейной комнаты до даты начала исполнения договора;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безусловного обязательства выполнить действия, направленные на выполнение требований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примени-мого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законодательства в части закрепления оружия за конкретными лицами до даты начала исполнения договора.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2.Является ли отсутствие помещения оружейной комнаты на праве собственности на 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3.Является ли отсутствие государственной регистрации договора аренды помещения для оружейной комнаты на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4.Является ли отсутствие актов обследования комнаты оружия органами ОЛРР территориальных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под-разделений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5.Является ли отсутствие комиссионного акта обследования комнаты хранения оружия и боеприпасов к нему органами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6.Является ли отсутствие акта о проведении инвентаризации служебного оружия и патронов к нему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.Является ли отсутствие приказа о назначении лиц, ответственных за проведение инвентаризационной комиссии органами ОЛРР территориальных подразделений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8.Какие документы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являются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мнению заказчика достаточным подтверждением наличия собственной дежурной части, которая должна располагаться в собственном или арендованном помещении на территории расположения объектов Заказчика.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9.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Являются ли договоры аренды, заключенные Участником, в том числе в отношении автотранспортного средства с условием о пролонгации договора на новый срок по истечению первого срока на который он был заключен и который менее в календарном исчислении срока оказания услуг являющихся предметом конкурса, достаточным доказательством надлежащего исполнения требований конкурсной документации в части представления документов и того факта, что заключенные договоры аренды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подтверждают факт владения и пользования имуществом участником в течение всего периода оказания услуг по договору,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заключение которого является предметом настоящего Конкурса.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3.Касательно выполнения специальных требований законодательства об оружии.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соответствии с пп.35.5.3 и 35.5.5. информационной карты участник должен представить копии приказов (заверенные участником) о закреплении имеющегося оружия за работниками охранной организации, указанных в справке о кадровых ресурсах, которые будут задействованы при охране объектов, а также копии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кадровых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ресурсах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заверенные органами внутренних дел по месту оказания услуг.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Кроме этого, в соответствии с п.35.6.3. информационной карты участник должен представить копию Выписки из Протокола заседания комиссии (наименование органа внутренних дел)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 (приказ МВД России от 29.06.2012г. № 647) (заверенную Участником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Указанные требования относимы к стадии исполнения заключённого договора, а выполнение таковых приведёт к существенным экономическим и административным издержкам участника конкурсной процедуры из иного региона России. Кроме того, выполнение указанных требований с учётом временных рамок представления документов для участия в конкурсе является невозможным.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1.Допустимо ли предоставление для целей обоснования соответствия обозначенным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подп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35.5.3 и 35.5.5. информационной карты документов: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безусловного обязательства выполнить действия, направленные на выполнение требований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примени-мого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законодательства в части закрепления оружия за конкретными лицами до даты начала исполнения договора, а также направленные на прохождение частными охранниками и работниками участника, занятых при исполнении договора и в функции которых будет входить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обязательства по использованию оружия и специальных средств, периодических проверок (первичных и плановых) на пригодность к действиям в условиях, связанных с применением огнестрельного оружия и специальных средств и представления советующих документов Заказчику услуг.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2.Является ли отсутствие копий разрешений на право хранения и ношения при исполнении служебных обязанностей специальных средств (служебного оружия), выданных на сотрудников, указанных в справке о кадровых ресурсах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заверенных органами внутренних дел по месту оказания услуг на дату принятия решения в соответствии с разделом 3.10. конкурсной документации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Касательно выполнения требований по представлению документов, подтверждающих те или иные требования к участнику конкурса.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Применительно к требованиям конкурсной документации участник конкурса должен представить заявку с приложением указанных в информационной карте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услуг за предшествующий период равный не менее трем годам, а также «иные» документы не только в электронном виде, но и на бумажном носителе оформленные и заверенные в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установленном конкурсной документацией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порядке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Оценка общего количества документов, сопоставление содержания таковых с заявленными организатором торгов целями истребования, достоверно показывает существенное количество дублирующих документов (одно и то же обстоятельство подтверждается не одним, не двумя, а зачастую тремя и более документами, содержащими одни и те же сведения), а также наличие в составе требований конкурсной документации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обязанности о предоставлении существенного объёма документов, имеющих весьма посредственное, отдалённое отношение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предмету договора,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заключение которого является предметом конкурса. Кроме того, раскрытие некоторых сведений, требуемых в соответствии с конкурсной документацией, представляет собой акт нарушения действующего законодательства и/или запретов, установленных для Общества в отношениях с третьими лицами.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целом состав документации может быть определён как явно избыточный, в частности, комплект документов Общества по самым приблизительным подсчётам составит не менее 6 000 листов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учётом указанных обстоятельств, требуют разъяснения ряд положений конкурсной документации.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п.35.3.2 информационной карты участник конкурса должен представить копии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дого-воров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актов оказанных услуг, указанных в Справке о выполнении аналогичных по характеру и объему услуг договоров по оказанию охранных услуг за последние 3 года, а также 1 полугодие 2014 года.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определенных сторонами случаях указанная документация, требуемая Организатором торгов является конфиденциальной информацией, представляющей коммерческую тайну, в связи с чем участник не вправе ее разглашать без согласия третьего лица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Кроме этого, подтверждением опыта выполнения аналогичных услуг является справка, оформляемая участником по форме 5, а также представляемая в соответствии с п.35.9.3 информационной карты годовая бухгалтерская отчетность за аналогичный период.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связи с этим 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1.Допустимо ли предоставление общих сведений о составе исполненных договоров в установленной форме без собственно полной копии договора и актов к нему при наличии в таком договоре условия о запрете раскрытия его содержания с пояснением относительно существа договора и характера его исполнения с опорой на иные документы, достоверно подтверждающие обстоятельства, которые намерен выявить организатор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конкурса.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Является ли подобная методология раскрытия содержания предшествующего опыта претендента не соответствующей требованиям конкурсной документации.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2.Является ли непредставление договоров с учетом представляемой иной документации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подтверждаю-щий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факт оказания аналогичных работ (справка по форме 5, копии отзывов, бухгалтерская отчетность) на дату принятия решения в соответствии с разделом 3.10. конкурсной документации основанием для отклонения заявки и дисквалификации участника.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35.6.2. информационной карты участник конкурса должен представить заверенные копии документов, подтверждающие право и квалификацию специалистов Участника на оказание, связанных с выполнением Договора, заключаемого по итогам закупочной процедуры: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копии действующих удостоверений частного охранника, выданных сотрудникам, указанным в справке о кадровых ресурсах;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копии действующих свидетельств о прохождении профессиональной подготовки для работы в качестве охранника, выданных сотрудникам, указанным в справке о кадровых ресурсах;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копии действующих свидетельств о присвоении квалификации частного охранника, выданных сотрудникам, указанным в справке о кадровых ресурсах;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копии трудовых договоров, заключенных с работниками Участника, указанными в справке о кадровых ресурсах; 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копии трудовых книжек сотрудников Участника, указанных в справке о кадровых ресурсах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Указанные документы, без сомнения, дублируют сведения, в частности, удостоверение частного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охран-ника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достоверно подтверждает в числе прочих обстоятельств и прохождение профессиональной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квалифика-ции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наличие соответствующего свидетельства; в свою очередь требование о предоставлении копий трудовых договоров и трудовых книжек и вовсе имеет весьма посредственное отношение к предмету договора,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право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заключение которого является предметом торгов и вероятно связано с проверкой соблюдения требований трудового законодательства претендентом (основанных на законе интерес в такого рода проверке у организатора как таковой отсутствует).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связи с тем, что удостоверения охранников выдается с указанием установленной действующим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зако-нодательством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информации и свидетельствует применительно к требованиям ст. 11.1 Закон РФ от 11.03.1992 № 2487-1 «О частной детективной и охранной деятельности в Российской Федерации» и Приказа МВД России от 29.09.2011 № 1039, в том числе, о прохождении профессиональной подготовки, о присвоенной квалификации, о специальной подготовке, о выдаче личной карточки с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указанием наименования охранной организации, а наличие трудового договора и трудовой книжки имеет отношение исключительно к соблюдению применимого трудового законодательства и находится в плоскости отношений работник – работодатель, 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1.Допустимо ли предоставление исключительно копий удостоверений охранников с безусловным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заве-рением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соответствии сведений, изложенных в удостоверении, действительности.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Является ли подобный способ надлежащим подтверждением наличия необходимого кадрового потенциала, а собственно непредставление копий действующих свидетельств о прохождении профессиональной подготовки, копий действующих свидетельств о присвоении квалификации частного охранника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2.Допустимо ли предоставление безусловного заверения о том, что претендентом в полной мере соблюдаются требования действующего законодательства о труде в отношении всех его работников, указанных в справке о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кадровых ресурсов и раскрытые сведений о наличии трудовых отношений иным способом, например, в форме отчётности, представляемой в уполномоченные органы государственной власти в связи с выполнением последними публичных функций.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3.Является ли непредставление копий трудовых договоров и копий трудовых книжек сотрудников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п.35.6.7 и 35.6.8. информационной карты участник конкурса должен представить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за-веренные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копии документов, подтверждающих наличие в штате охранной организации специалиста по охране труда, имеющего соответствующую подготовку и опыт работы в области охраны труда и техники безопасности, а также копии документов, подтверждающих обеспечение техники безопасности при охране объектов: документация участника по охране труда и технике безопасности (Положение об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охране труда; Инструкции по охране труда); документы, подтверждающие проведение проверки знаний требований охраны труда (положение об организации и проведении проверок знаний требований охраны труда сотрудников Участника; протоколы проверок знаний требований охраны труда сотрудников Участника; журналы регистрации инструктажей: первичного, повторного, внепланового, целевого; журнал учета выданных удостоверений о проверке знаний требований охраны труда).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Применительно к ст. 217 ТК РФ при отсутствии в штате специалиста по охране труда его функции вправе выполнять руководитель организации, а документация по охране труда и технике безопасности и подтверждающая проведение проверки знаний требований охраны труда является внутренней документацией участника, не влияет на оценку специального статуса участника, необходимого для оказания услуг, являющихся предметом торгов, наличие/отсутствие указанной документации – ответственность работодателя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участника и негативные последствия невыполнения требований законодательства будут возложены исключительно на участника. Кроме этого, применительно к п.35.6.6. информационной карты участник представляет информационную таблицу по охране труда по форме 9.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связи с изложенным 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1.Допустимо ли предоставление безусловного обязательства соблюдения применимых требований законодательства о труде в течение всего срока действия договора, а также заполненных форм конкурсной документации (информационная таблица по охране труда (форма 9), а также собственно списка действующих внутренних документов у претендента и мероприятий, проводимых в пределах исполнения соответствующих обязанностей работодателя.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Является ли непредставление документов, указанных в п.35.6.7 и 35.6.8. информационной карты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осно-ванием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для отклонения заявки и дисквалификации участника.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3.10.6 конкурсной документации конкурсная комиссия имеет право отклонить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за-явки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 том числе, которые: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не соответствуют требованиям настоящей Конкурсной документации по существу;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поданы Участниками, которые не отвечают требованиям настоящей Конкурсной документации;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поданы Участниками, не предоставившими документы и сведения, требуемые настоящей документацией; в представленных документах имеются недостоверные сведения об Участнике и/или о предлагаемой им продукции;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документы в составе предложения не соответствуют требованиям настоящей Документации;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в отношении Участника от СЭБ ОАО «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получено отрицательное заключение на предмет благонадежности и деловой репутации.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Представляется очевидным то обстоятельство, что п. 3.10.6 содержит широкую дискрецию в части </w:t>
            </w:r>
            <w:proofErr w:type="spellStart"/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пол-номочий</w:t>
            </w:r>
            <w:proofErr w:type="spellEnd"/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конкурсной комиссии, а также явно неопределённые термины. Принимая во внимание запредельно большой объём документации, с тем, чтобы претендент мог надлежащим образом сформировать комплект конкурсной документации и исключить отклонение заявки на стадии квалификации 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1.Что понимается под «несоответствием заявки требованиям конкурсной документации по существу для целей определения оснований для отклонения заявки, в частности привести примеры такого несоответствия, которые, по мнению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конкурсной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комиссии, являются основанием для дисквалификации.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Кого рода несоответствие участника требованиям конкурсной документации является основанием для отклонения заявки.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Каковы критерии оценки понятия «непредставления документов и сведений» для целей определения оснований для отклонения заявки участника, в частности, насколько существенным должен являться дефект документации с точки зрения объёма и количества документов или степень интенсивности такого нарушения не имеет значения, в частности, является ли непредставление копий 5 из 100 удостоверений основанием для дисквалификации участника (отклонения заявки).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Каковы критерии оценки понятия «недостоверные сведения» для целей определения оснований для отклонения заявки участника, в частности, насколько существенным должен являться дефект содержания сведений, в частности, является невиновное сообщение недостоверных сведений основанием для дисквалификации участника (отклонения заявки).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5. Что понимается под «документами в составе предложения не соответствующими требованиям 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кон-курсной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документации» для целей определения оснований для отклонения заявки, в частности привести примеры такого несоответствия, которые, по мнению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конкурсной</w:t>
            </w:r>
            <w:proofErr w:type="gram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комиссии, являются основанием для дисквалификации.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Каковы порядок и основания формирования заключения на предмет благонадёжности участника, представляемого СЭБ ОАО «</w:t>
            </w:r>
            <w:proofErr w:type="spell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», в частности, какие основания являются поводом для формирования отрицательного заключения на предмет благонадежности и деловой репутации.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● </w:t>
            </w:r>
            <w:proofErr w:type="gramStart"/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Принимая во внимание достаточно существенный объём документации, требуемой для представления организатору конкурса, прошу пояснить: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1.Является ли допустимым применение приёмов масштабирования при копировании и печати документов (размещение на одной странице в альбом формате нескольких страниц).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2.Является применение масштабирования несоответствием требований конкурсной документации для целей определения оснований для отклонения заявки претендента.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End"/>
          </w:p>
        </w:tc>
      </w:tr>
      <w:tr w:rsidR="008579AC" w:rsidRPr="008579A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579AC" w:rsidRPr="008579AC" w:rsidRDefault="005E1E3B" w:rsidP="00857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="008579AC" w:rsidRPr="008579A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579AC" w:rsidRPr="008579AC" w:rsidRDefault="005E1E3B" w:rsidP="008579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="008579AC" w:rsidRPr="008579AC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Капустенко Алексей Владимирович</w:t>
              </w:r>
            </w:hyperlink>
            <w:r w:rsidR="008579AC"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22.10.2014 12:26</w:t>
            </w:r>
          </w:p>
        </w:tc>
      </w:tr>
      <w:tr w:rsidR="008579AC" w:rsidRPr="008579A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B6797" w:rsidRDefault="008579AC" w:rsidP="00EB679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8579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EB6797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Блок вопросов 1:</w:t>
            </w:r>
          </w:p>
          <w:p w:rsidR="00EB6797" w:rsidRPr="00CE345E" w:rsidRDefault="00EB6797" w:rsidP="00EB67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Несоответствие участника требованиям, обозначенным в пунктах 34.5., 34.6., 34.7. информационной карты, не является основанием для отказа в допуске к участию в конкурсе</w:t>
            </w:r>
            <w:r w:rsidRPr="00CE34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6797" w:rsidRDefault="00EB6797" w:rsidP="00EB67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В соответствии с п. 34.5. Информационной карты не учитывается опыт по не</w:t>
            </w:r>
            <w:r>
              <w:rPr>
                <w:rFonts w:ascii="Times New Roman" w:hAnsi="Times New Roman"/>
                <w:sz w:val="24"/>
                <w:szCs w:val="24"/>
              </w:rPr>
              <w:t>завершенным договорам на оказание услуг по охране (2011-2014).</w:t>
            </w:r>
          </w:p>
          <w:p w:rsidR="00EB6797" w:rsidRDefault="00EB6797" w:rsidP="00EB67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требованиями п. 35.3. Информационной карты в подтверждение пунктов 34.5, 34.6, 34.7, заполняется установленная форма </w:t>
            </w:r>
            <w:r>
              <w:rPr>
                <w:rFonts w:ascii="Times New Roman" w:hAnsi="Times New Roman"/>
                <w:sz w:val="24"/>
                <w:szCs w:val="24"/>
              </w:rPr>
              <w:t>Справки о выполнении аналогичных по характеру и объему услуг договоров, предоставляются Копии договоров и актов оказанных услуг, указанных в Справке о выполнении аналогичных по характеру и объему услуг договоров; деловая репутация подтверждается отзывами.</w:t>
            </w:r>
          </w:p>
          <w:p w:rsidR="00EB6797" w:rsidRDefault="00EB6797" w:rsidP="00EB67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Блок вопросов 2: </w:t>
            </w: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С целью подтверждения соответствия участника требованиям, установленным    п.п. 34.14 Информационной карты конкурсной документации: 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необходимо предоставить копию документа, подтверждающего право владения (на праве собственности либо праве аренды).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Предварительный договор аренды не является таким документом;</w:t>
            </w:r>
            <w:proofErr w:type="gramEnd"/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участник должен предоставить документы, перечисленные в 35.5.2 Информационной карты, а не безусловные обязательства по выполнению до даты начала исполнения договора действий, направленных на проведение требуемых контрольных мероприятий уполномоченных органов в отношении оружейной комнаты либо на выполнение применимого законодательства в части закрепления оружия за конкретными лицами.</w:t>
            </w:r>
            <w:proofErr w:type="gramEnd"/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Основанием для отклонения заявки является отсутствие у участника на дату подачи заявки на праве собственности либо на праве аренды комнаты для хранения оружия.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Договор аренды комнаты для хранения оружия должен соответствовать требованиям действующего законодательства РФ, а также конкурсной документации. При этом факт отсутствия его государственной регистрации не является основанием для отклонения предложения участника.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4-7. Отсутствие какого-либо документа, перечисленного в п. 35.5.2 Информационной карты, является основанием для отклонения заявки. 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По требованиям к наличию дежурной части: необходимо документальное подтверждение наличия собственной дежурной части, которая должна располагаться в собственном или арендованном помещении на территории расположения охраняемых объектов, что должно быть подтверждено свидетельством о собственности или заверенной Участником копией договора аренды согласно п.7.7. Технического задания.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Договоры аренды должны быть заключены, согласно п.34.14 Информационной карты, на срок не менее срока оказания охранных услуг.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Блок вопросов 3: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1-2. Отсутствие какого-либо документа, перечисленного в п. 35.5.3, 35.5.5, 35.6.3 Информационной карты, является основанием для отклонения заявки.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Блок вопросов 4: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Копии документов, подтверждающих статус участника, его специальную правоспособность, кадровые и материально-технические ресурсы для выполнения услуг, опыт выполнения аналогичных договоров должны быть представлены по формам, в количестве и объеме в соответствии с п.п. 34.14, 35.6.1 – 35.6.4 Информационной карты. 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Блок вопросов 5: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 предоставлению информации, являющейся конфиденциальной по отношению к третьим лицам, в части предоставления копий договоров, рекомендовано получить согласие у третьих лиц в рамках законодательных актов в сфере охраны информации, или показать в составе конкурсной заявки первые листы договоров, на которых стоит гриф «Коммерческая тайна» со штампом Заказчика. 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Предоставляемая по п.35.9.3 бухгалтерская отчетность не отражает опыта выполнения аналогичных договоров, данная информация отражает финансовую сторону деятельности предприятия, а опыт Участника оценивается исходя из указанных в справке о перечне и объемах выполненных аналогичных договорах, в случае не предоставления информации по критерию «Квалификация и надежность участника» будет присвоена оценка «-1».</w:t>
            </w:r>
            <w:proofErr w:type="gramEnd"/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Блок вопросов 6:</w:t>
            </w:r>
          </w:p>
          <w:p w:rsidR="00EB6797" w:rsidRDefault="00EB6797" w:rsidP="00EB6797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1-3. Отсутствие какого-либо документа, перечисленного в п. 35.6.1-35.6.4 Информационной карты, является основанием для отклонения заявки.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право и квалификацию специалистов регламентированы </w:t>
            </w: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статьей 11.1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«О частной охранной и детективной деятельности» от 11.03.1992 № 2487. Отчетность в уполномоченные органы государственной власти о среднесписочной численности предприятия не отражает право и квалификацию сотрудников. 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797" w:rsidRDefault="00EB6797" w:rsidP="00EB67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Блок вопросов 7:</w:t>
            </w:r>
          </w:p>
          <w:p w:rsidR="00EB6797" w:rsidRDefault="00EB6797" w:rsidP="00EB6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1-2. Данные документы подтверждают соответствие участника требованию, </w:t>
            </w:r>
          </w:p>
          <w:p w:rsidR="00EB6797" w:rsidRDefault="00EB6797" w:rsidP="00EB679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установленному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п. 35.6.7, 35.6.8. Информационной карты. Непредставление их Участником в составе заявки является основанием для отклонения такой заявки. </w:t>
            </w:r>
          </w:p>
          <w:p w:rsidR="00EB6797" w:rsidRDefault="00EB6797" w:rsidP="00EB679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6797" w:rsidRDefault="00EB6797" w:rsidP="00EB6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Блок вопросов 8:</w:t>
            </w:r>
          </w:p>
          <w:p w:rsidR="00EB6797" w:rsidRDefault="00EB6797" w:rsidP="00EB679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Несоответствием заявки требованиям конкурсной документации по существу является не включение в заявку документов, указанных в конкурсной документации, либо предоставление документов, не соответствующих требованиям настоящей документации (не являются основанием для отклонения заявки требования с пометкой «желательно»). 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Относительно предоставления документов «с точки зрения объема и количества документов»: Заказчику необходимо 40 сотрудников охраны, Участник в Справке о кадровых ресурсах представляет 60, но при этом 40 из них, указанных в Справке, подтверждает удостоверениями охранника, свидетельствами о квалификации, эти 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указаны в полисе страхования от несчастных случаев и т.д. это оценивается как соответствие требованиям Конкурсной документации. В случае, когда из 60,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только 20-30 подтверждены документами о квалификации, а остальные 20-10 не подтверждены, то Участник не соответствует требованиям Закупочной документации.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Под недостоверными сведениями подразумевается любые недостоверные сведения, указанные в Конкурсном предложении Участника. В соответствии с п.3.10.5 Организатор имеет право на проведение любого рода запросов или расследований по проверке заявлений, документов и информации, предоставленных Участниками. При предоставлении заведомо ложных сведений или намеренном искажении информации или документов, приведенных в составе заявки, Организатор имеет право удержать обеспечение исполнения обязательств участника закупочной процедуры (если предоставлялось согласно требованиям настоящей документации), а Конкурсная комиссия вправе отклонить предложение такого участника».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Документы в составе предложения, не соответствующие требованиям конкурсной документации – документы, сформированные с нарушением п.п. 34, 35 Информационной карты конкурсной документации, п.п. 3.4.1-3.4.7 конкурсной документации. 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силу п. 3.4.8.2 конкурсной документации, приведение примеров не входит в компетенцию Организатора конкурса, поскольку экспертиза предложений участников осуществляется независимыми экспертами. 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Порядок и основания формирования заключения на предмет благонадежности Участника приведены в п. 34.18 Информационной карты Закупочной документации.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Блок вопросов 9:</w:t>
            </w: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B6797" w:rsidRDefault="00EB6797" w:rsidP="00EB6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1-2. Копирование и масштабирование документов, входящих в состав Конкурсной заявки, согласно п.3.7 Закупочной документации не запрещено, формат должен быть читаемым, рекомендуется на 1 листе размещать не более 2 страниц.</w:t>
            </w:r>
          </w:p>
          <w:p w:rsidR="00EB6797" w:rsidRDefault="00EB6797" w:rsidP="00EB67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6797" w:rsidRDefault="00EB6797" w:rsidP="00EB67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Резюмируя выше сказанное, обращаем Ваше внимание на то, что ответы на вопросы изложены в требованиях конкурсной документации с ее неотъемлемыми частями – приложениями.</w:t>
            </w:r>
          </w:p>
          <w:p w:rsidR="008579AC" w:rsidRPr="008579AC" w:rsidRDefault="008579AC" w:rsidP="00857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D1323" w:rsidRDefault="002D1323"/>
    <w:sectPr w:rsidR="002D1323" w:rsidSect="002D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9AC"/>
    <w:rsid w:val="002D1323"/>
    <w:rsid w:val="005E1E3B"/>
    <w:rsid w:val="008579AC"/>
    <w:rsid w:val="00EB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579AC"/>
  </w:style>
  <w:style w:type="character" w:customStyle="1" w:styleId="aux1">
    <w:name w:val="aux1"/>
    <w:basedOn w:val="a0"/>
    <w:rsid w:val="008579AC"/>
    <w:rPr>
      <w:color w:val="006600"/>
    </w:rPr>
  </w:style>
  <w:style w:type="paragraph" w:customStyle="1" w:styleId="ConsPlusNormal">
    <w:name w:val="ConsPlusNormal"/>
    <w:rsid w:val="00EB6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28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227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831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10013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42272&amp;doexpl=answer&amp;expl_id=139821" TargetMode="External"/><Relationship Id="rId9" Type="http://schemas.openxmlformats.org/officeDocument/2006/relationships/hyperlink" Target="consultantplus://offline/ref=845C02FBD0E108479520F2285864D313CF222408DB969923CABD0362B0D2AA70B46F98E9F2285E28V4E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4536</Words>
  <Characters>25856</Characters>
  <Application>Microsoft Office Word</Application>
  <DocSecurity>0</DocSecurity>
  <Lines>215</Lines>
  <Paragraphs>60</Paragraphs>
  <ScaleCrop>false</ScaleCrop>
  <Company>ts</Company>
  <LinksUpToDate>false</LinksUpToDate>
  <CharactersWithSpaces>30332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4</cp:revision>
  <dcterms:created xsi:type="dcterms:W3CDTF">2014-10-22T08:25:00Z</dcterms:created>
  <dcterms:modified xsi:type="dcterms:W3CDTF">2014-10-22T08:33:00Z</dcterms:modified>
</cp:coreProperties>
</file>