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3670" w:rsidRPr="00063670" w:rsidRDefault="00063670" w:rsidP="00063670">
      <w:pPr>
        <w:spacing w:after="300" w:line="240" w:lineRule="auto"/>
        <w:outlineLvl w:val="0"/>
        <w:rPr>
          <w:rFonts w:ascii="Times New Roman" w:eastAsia="Times New Roman" w:hAnsi="Times New Roman" w:cs="Times New Roman"/>
          <w:color w:val="000000"/>
          <w:kern w:val="36"/>
          <w:sz w:val="24"/>
          <w:szCs w:val="24"/>
          <w:lang w:eastAsia="ru-RU"/>
        </w:rPr>
      </w:pPr>
      <w:r w:rsidRPr="00063670">
        <w:rPr>
          <w:rFonts w:ascii="Times New Roman" w:eastAsia="Times New Roman" w:hAnsi="Times New Roman" w:cs="Times New Roman"/>
          <w:color w:val="000000"/>
          <w:kern w:val="36"/>
          <w:sz w:val="24"/>
          <w:szCs w:val="24"/>
          <w:lang w:eastAsia="ru-RU"/>
        </w:rPr>
        <w:t>Конкурс № 1043449</w:t>
      </w:r>
    </w:p>
    <w:p w:rsidR="00063670" w:rsidRPr="00063670" w:rsidRDefault="00063670" w:rsidP="00063670">
      <w:pPr>
        <w:spacing w:after="300" w:line="240" w:lineRule="auto"/>
        <w:outlineLvl w:val="0"/>
        <w:rPr>
          <w:rFonts w:ascii="Times New Roman" w:eastAsia="Times New Roman" w:hAnsi="Times New Roman" w:cs="Times New Roman"/>
          <w:color w:val="000000"/>
          <w:kern w:val="36"/>
          <w:sz w:val="24"/>
          <w:szCs w:val="24"/>
          <w:lang w:eastAsia="ru-RU"/>
        </w:rPr>
      </w:pPr>
      <w:r w:rsidRPr="00063670">
        <w:rPr>
          <w:rFonts w:ascii="Times New Roman" w:eastAsia="Times New Roman" w:hAnsi="Times New Roman" w:cs="Times New Roman"/>
          <w:color w:val="000000"/>
          <w:kern w:val="36"/>
          <w:sz w:val="24"/>
          <w:szCs w:val="24"/>
          <w:lang w:eastAsia="ru-RU"/>
        </w:rPr>
        <w:t>Открытый одноэтапный конкурс без предварительного отбора на право заключения Договора на выполнение работ по расширению просек ВЛ 110 кВ до требований ПУЭ филиала АО «Тюменьэнерго» Нижневартовские электрические сети площадью 333,41 га...</w:t>
      </w:r>
    </w:p>
    <w:p w:rsidR="00063670" w:rsidRPr="00063670" w:rsidRDefault="00063670" w:rsidP="00063670">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Приём заявок завершается 11.07.2018 в 11:00 по московскому времени</w:t>
      </w:r>
      <w:r w:rsidRPr="00063670">
        <w:rPr>
          <w:rFonts w:ascii="Times New Roman" w:eastAsia="Times New Roman" w:hAnsi="Times New Roman" w:cs="Times New Roman"/>
          <w:color w:val="E4002B"/>
          <w:sz w:val="24"/>
          <w:szCs w:val="24"/>
          <w:lang w:eastAsia="ru-RU"/>
        </w:rPr>
        <w:t xml:space="preserve">  (через 20 суток, 25 минут и 21 секунду) </w:t>
      </w:r>
      <w:r w:rsidRPr="00063670">
        <w:rPr>
          <w:rFonts w:ascii="Times New Roman" w:eastAsia="Times New Roman" w:hAnsi="Times New Roman" w:cs="Times New Roman"/>
          <w:vanish/>
          <w:color w:val="E4002B"/>
          <w:sz w:val="24"/>
          <w:szCs w:val="24"/>
          <w:lang w:eastAsia="ru-RU"/>
        </w:rPr>
        <w:t xml:space="preserve">(завершён) </w:t>
      </w:r>
      <w:r w:rsidRPr="00063670">
        <w:rPr>
          <w:rFonts w:ascii="Times New Roman" w:eastAsia="Times New Roman" w:hAnsi="Times New Roman" w:cs="Times New Roman"/>
          <w:vanish/>
          <w:color w:val="E4002B"/>
          <w:sz w:val="24"/>
          <w:szCs w:val="24"/>
          <w:lang w:eastAsia="ru-RU"/>
        </w:rPr>
        <w:br/>
      </w:r>
      <w:r w:rsidRPr="00063670">
        <w:rPr>
          <w:rFonts w:ascii="Times New Roman" w:eastAsia="Times New Roman" w:hAnsi="Times New Roman" w:cs="Times New Roman"/>
          <w:b/>
          <w:bCs/>
          <w:vanish/>
          <w:color w:val="E4002B"/>
          <w:sz w:val="24"/>
          <w:szCs w:val="24"/>
          <w:lang w:eastAsia="ru-RU"/>
        </w:rPr>
        <w:t>Не удалось обновить дату и время окончания процедуры! Проверьте соединение с интернетом и обновите страницу!</w:t>
      </w:r>
      <w:r w:rsidRPr="00063670">
        <w:rPr>
          <w:rFonts w:ascii="Times New Roman" w:eastAsia="Times New Roman" w:hAnsi="Times New Roman" w:cs="Times New Roman"/>
          <w:vanish/>
          <w:color w:val="E4002B"/>
          <w:sz w:val="24"/>
          <w:szCs w:val="24"/>
          <w:lang w:eastAsia="ru-RU"/>
        </w:rPr>
        <w:t xml:space="preserve"> </w:t>
      </w:r>
      <w:r w:rsidRPr="00063670">
        <w:rPr>
          <w:rFonts w:ascii="Times New Roman" w:eastAsia="Times New Roman" w:hAnsi="Times New Roman" w:cs="Times New Roman"/>
          <w:color w:val="000000"/>
          <w:sz w:val="24"/>
          <w:szCs w:val="24"/>
          <w:lang w:eastAsia="ru-RU"/>
        </w:rPr>
        <w:t>.</w:t>
      </w:r>
    </w:p>
    <w:p w:rsidR="00063670" w:rsidRPr="00063670" w:rsidRDefault="00063670" w:rsidP="00063670">
      <w:pPr>
        <w:numPr>
          <w:ilvl w:val="0"/>
          <w:numId w:val="1"/>
        </w:numPr>
        <w:pBdr>
          <w:bottom w:val="single" w:sz="12" w:space="4" w:color="EBEBEB"/>
        </w:pBdr>
        <w:spacing w:before="100" w:beforeAutospacing="1" w:after="100" w:afterAutospacing="1" w:line="240" w:lineRule="auto"/>
        <w:ind w:left="-171" w:right="600"/>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Извещение</w:t>
      </w:r>
    </w:p>
    <w:p w:rsidR="00063670" w:rsidRPr="00063670" w:rsidRDefault="00063670" w:rsidP="00063670">
      <w:pPr>
        <w:numPr>
          <w:ilvl w:val="0"/>
          <w:numId w:val="1"/>
        </w:numPr>
        <w:pBdr>
          <w:bottom w:val="single" w:sz="12" w:space="4" w:color="EBEBEB"/>
        </w:pBdr>
        <w:spacing w:before="100" w:beforeAutospacing="1" w:after="100" w:afterAutospacing="1" w:line="240" w:lineRule="auto"/>
        <w:ind w:left="-171" w:right="600"/>
        <w:rPr>
          <w:rFonts w:ascii="Times New Roman" w:eastAsia="Times New Roman" w:hAnsi="Times New Roman" w:cs="Times New Roman"/>
          <w:color w:val="000000"/>
          <w:sz w:val="24"/>
          <w:szCs w:val="24"/>
          <w:lang w:eastAsia="ru-RU"/>
        </w:rPr>
      </w:pPr>
      <w:hyperlink r:id="rId5" w:history="1">
        <w:r w:rsidRPr="00063670">
          <w:rPr>
            <w:rFonts w:ascii="Times New Roman" w:eastAsia="Times New Roman" w:hAnsi="Times New Roman" w:cs="Times New Roman"/>
            <w:color w:val="2283C3"/>
            <w:sz w:val="24"/>
            <w:szCs w:val="24"/>
            <w:lang w:eastAsia="ru-RU"/>
          </w:rPr>
          <w:t>Все лоты - 1</w:t>
        </w:r>
      </w:hyperlink>
    </w:p>
    <w:p w:rsidR="00063670" w:rsidRPr="00063670" w:rsidRDefault="00063670" w:rsidP="00063670">
      <w:pPr>
        <w:numPr>
          <w:ilvl w:val="0"/>
          <w:numId w:val="1"/>
        </w:numPr>
        <w:pBdr>
          <w:bottom w:val="single" w:sz="12" w:space="4" w:color="EBEBEB"/>
        </w:pBdr>
        <w:spacing w:before="100" w:beforeAutospacing="1" w:after="100" w:afterAutospacing="1" w:line="240" w:lineRule="auto"/>
        <w:ind w:left="-171" w:right="600"/>
        <w:rPr>
          <w:rFonts w:ascii="Times New Roman" w:eastAsia="Times New Roman" w:hAnsi="Times New Roman" w:cs="Times New Roman"/>
          <w:color w:val="000000"/>
          <w:sz w:val="24"/>
          <w:szCs w:val="24"/>
          <w:lang w:eastAsia="ru-RU"/>
        </w:rPr>
      </w:pPr>
      <w:hyperlink r:id="rId6" w:history="1">
        <w:r w:rsidRPr="00063670">
          <w:rPr>
            <w:rFonts w:ascii="Times New Roman" w:eastAsia="Times New Roman" w:hAnsi="Times New Roman" w:cs="Times New Roman"/>
            <w:color w:val="2283C3"/>
            <w:sz w:val="24"/>
            <w:szCs w:val="24"/>
            <w:lang w:eastAsia="ru-RU"/>
          </w:rPr>
          <w:t>Разъяснения - 0</w:t>
        </w:r>
      </w:hyperlink>
    </w:p>
    <w:p w:rsidR="00063670" w:rsidRPr="00063670" w:rsidRDefault="00063670" w:rsidP="00063670">
      <w:pPr>
        <w:numPr>
          <w:ilvl w:val="0"/>
          <w:numId w:val="1"/>
        </w:numPr>
        <w:pBdr>
          <w:bottom w:val="single" w:sz="12" w:space="4" w:color="EBEBEB"/>
        </w:pBdr>
        <w:spacing w:before="100" w:beforeAutospacing="1" w:after="100" w:afterAutospacing="1" w:line="240" w:lineRule="auto"/>
        <w:ind w:left="-171" w:right="600"/>
        <w:rPr>
          <w:rFonts w:ascii="Times New Roman" w:eastAsia="Times New Roman" w:hAnsi="Times New Roman" w:cs="Times New Roman"/>
          <w:color w:val="000000"/>
          <w:sz w:val="24"/>
          <w:szCs w:val="24"/>
          <w:lang w:eastAsia="ru-RU"/>
        </w:rPr>
      </w:pPr>
      <w:hyperlink r:id="rId7" w:history="1">
        <w:r w:rsidRPr="00063670">
          <w:rPr>
            <w:rFonts w:ascii="Times New Roman" w:eastAsia="Times New Roman" w:hAnsi="Times New Roman" w:cs="Times New Roman"/>
            <w:color w:val="2283C3"/>
            <w:sz w:val="24"/>
            <w:szCs w:val="24"/>
            <w:lang w:eastAsia="ru-RU"/>
          </w:rPr>
          <w:t>Приглашения к участию - 0</w:t>
        </w:r>
      </w:hyperlink>
    </w:p>
    <w:p w:rsidR="00063670" w:rsidRPr="00063670" w:rsidRDefault="00063670" w:rsidP="00063670">
      <w:pPr>
        <w:numPr>
          <w:ilvl w:val="0"/>
          <w:numId w:val="1"/>
        </w:numPr>
        <w:pBdr>
          <w:bottom w:val="single" w:sz="12" w:space="4" w:color="EBEBEB"/>
        </w:pBdr>
        <w:spacing w:before="100" w:beforeAutospacing="1" w:after="100" w:afterAutospacing="1" w:line="240" w:lineRule="auto"/>
        <w:ind w:left="-171" w:right="600"/>
        <w:rPr>
          <w:rFonts w:ascii="Times New Roman" w:eastAsia="Times New Roman" w:hAnsi="Times New Roman" w:cs="Times New Roman"/>
          <w:color w:val="000000"/>
          <w:sz w:val="24"/>
          <w:szCs w:val="24"/>
          <w:lang w:eastAsia="ru-RU"/>
        </w:rPr>
      </w:pPr>
      <w:hyperlink r:id="rId8" w:history="1">
        <w:r w:rsidRPr="00063670">
          <w:rPr>
            <w:rFonts w:ascii="Times New Roman" w:eastAsia="Times New Roman" w:hAnsi="Times New Roman" w:cs="Times New Roman"/>
            <w:color w:val="2283C3"/>
            <w:sz w:val="24"/>
            <w:szCs w:val="24"/>
            <w:lang w:eastAsia="ru-RU"/>
          </w:rPr>
          <w:t>Статистика посещений - 9</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063670" w:rsidRPr="00063670" w:rsidTr="0006367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63670" w:rsidRPr="00063670">
              <w:trPr>
                <w:tblCellSpacing w:w="7" w:type="dxa"/>
              </w:trPr>
              <w:tc>
                <w:tcPr>
                  <w:tcW w:w="0" w:type="auto"/>
                  <w:shd w:val="clear" w:color="auto" w:fill="C7CCD3"/>
                  <w:tcMar>
                    <w:top w:w="75" w:type="dxa"/>
                    <w:left w:w="75" w:type="dxa"/>
                    <w:bottom w:w="75" w:type="dxa"/>
                    <w:right w:w="75" w:type="dxa"/>
                  </w:tcMar>
                  <w:hideMark/>
                </w:tcPr>
                <w:p w:rsidR="00063670" w:rsidRPr="00063670" w:rsidRDefault="00063670" w:rsidP="00063670">
                  <w:pPr>
                    <w:shd w:val="clear" w:color="auto" w:fill="C7CCD3"/>
                    <w:spacing w:after="0" w:line="240" w:lineRule="auto"/>
                    <w:outlineLvl w:val="2"/>
                    <w:rPr>
                      <w:rFonts w:ascii="Times New Roman" w:eastAsia="Times New Roman" w:hAnsi="Times New Roman" w:cs="Times New Roman"/>
                      <w:vanish/>
                      <w:color w:val="333333"/>
                      <w:sz w:val="24"/>
                      <w:szCs w:val="24"/>
                      <w:lang w:eastAsia="ru-RU"/>
                    </w:rPr>
                  </w:pPr>
                  <w:bookmarkStart w:id="0" w:name="_GoBack"/>
                  <w:bookmarkEnd w:id="0"/>
                  <w:r w:rsidRPr="00063670">
                    <w:rPr>
                      <w:rFonts w:ascii="Times New Roman" w:eastAsia="Times New Roman" w:hAnsi="Times New Roman" w:cs="Times New Roman"/>
                      <w:color w:val="333333"/>
                      <w:sz w:val="24"/>
                      <w:szCs w:val="24"/>
                      <w:lang w:eastAsia="ru-RU"/>
                    </w:rPr>
                    <w:t>Открытый одноэтапный конкурс без предварительного отбора на право заключения Договора на выполнение работ по расширению просек ВЛ 110 кВ до требований ПУЭ филиала АО «Тюменьэнерго» Нижневартовские электрические сети площадью 333,41 га (Мегионский РЭС 37,8 га, Варьеганский РЭС 214,35 га, Самотлорский РЭС 15,33 га, Вахский РЭС 65,93 га)</w:t>
                  </w:r>
                  <w:r w:rsidRPr="00063670">
                    <w:rPr>
                      <w:rFonts w:ascii="Times New Roman" w:eastAsia="Times New Roman" w:hAnsi="Times New Roman" w:cs="Times New Roman"/>
                      <w:color w:val="333333"/>
                      <w:sz w:val="24"/>
                      <w:szCs w:val="24"/>
                      <w:lang w:eastAsia="ru-RU"/>
                    </w:rPr>
                    <w:br/>
                    <w:t>Выполнение работ по расширению просек ВЛ 110 кВ до требований ПУЭ филиала АО «Тюменьэнерго» Нижневартовские электрические сети площадью 333,41 га (Мегионский РЭС 37,8 га, Варьеганский РЭС 214,35 га, Самотлорский РЭС 15,33 га, Вахский РЭС 65,93 га)</w:t>
                  </w:r>
                  <w:r w:rsidRPr="00063670">
                    <w:rPr>
                      <w:rFonts w:ascii="Times New Roman" w:eastAsia="Times New Roman" w:hAnsi="Times New Roman" w:cs="Times New Roman"/>
                      <w:vanish/>
                      <w:color w:val="333333"/>
                      <w:sz w:val="24"/>
                      <w:szCs w:val="24"/>
                      <w:lang w:eastAsia="ru-RU"/>
                    </w:rPr>
                    <w:t xml:space="preserve"> Свернуть </w:t>
                  </w:r>
                </w:p>
              </w:tc>
            </w:tr>
            <w:tr w:rsidR="00063670" w:rsidRPr="000636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Лоты:</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hyperlink r:id="rId9" w:history="1">
                          <w:r w:rsidRPr="00063670">
                            <w:rPr>
                              <w:rFonts w:ascii="Times New Roman" w:eastAsia="Times New Roman" w:hAnsi="Times New Roman" w:cs="Times New Roman"/>
                              <w:color w:val="1367CF"/>
                              <w:sz w:val="24"/>
                              <w:szCs w:val="24"/>
                              <w:bdr w:val="none" w:sz="0" w:space="0" w:color="auto" w:frame="1"/>
                              <w:lang w:eastAsia="ru-RU"/>
                            </w:rPr>
                            <w:t xml:space="preserve">Лот № 1 </w:t>
                          </w:r>
                        </w:hyperlink>
                        <w:r w:rsidRPr="00063670">
                          <w:rPr>
                            <w:rFonts w:ascii="Times New Roman" w:eastAsia="Times New Roman" w:hAnsi="Times New Roman" w:cs="Times New Roman"/>
                            <w:color w:val="000000"/>
                            <w:sz w:val="24"/>
                            <w:szCs w:val="24"/>
                            <w:lang w:eastAsia="ru-RU"/>
                          </w:rPr>
                          <w:t xml:space="preserve">Выполнение работ по расширению просек ВЛ 110 кВ до требований ПУЭ филиала АО «Тюменьэнерго» Нижневартовские электрические сети площадью 333,41 га (Мегионский РЭС 37,8 га, Варьеганский РЭС 214,35 га, Самотлорский РЭС 15,33 га, Вахский РЭС 65,93 га) </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Начальная (максимальная) цена договора:</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b/>
                            <w:bCs/>
                            <w:color w:val="000000"/>
                            <w:sz w:val="24"/>
                            <w:szCs w:val="24"/>
                            <w:lang w:eastAsia="ru-RU"/>
                          </w:rPr>
                          <w:t>49 750 832,96 руб.</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Дата публикации:</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21.06.2018 09:31</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Дата окончания подачи заявок:</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11.07.2018 11:00</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Сроки поставки товаров, проведения работ, оказания услуг:</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04.09.2018 - 29.11.2019</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Дата последнего редактирования:</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 xml:space="preserve">21.06.2018 09:31, </w:t>
                        </w:r>
                        <w:hyperlink r:id="rId10" w:tgtFrame="_blank" w:tooltip="Отправить личное сообщение" w:history="1">
                          <w:r w:rsidRPr="00063670">
                            <w:rPr>
                              <w:rFonts w:ascii="Times New Roman" w:eastAsia="Times New Roman" w:hAnsi="Times New Roman" w:cs="Times New Roman"/>
                              <w:color w:val="1367CF"/>
                              <w:sz w:val="24"/>
                              <w:szCs w:val="24"/>
                              <w:bdr w:val="none" w:sz="0" w:space="0" w:color="auto" w:frame="1"/>
                              <w:lang w:eastAsia="ru-RU"/>
                            </w:rPr>
                            <w:t>Громовой Евгений Алексеевич</w:t>
                          </w:r>
                        </w:hyperlink>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Ответственное лицо:</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hyperlink r:id="rId11" w:tgtFrame="_blank" w:tooltip="Отправить личное сообщение" w:history="1">
                          <w:r w:rsidRPr="00063670">
                            <w:rPr>
                              <w:rFonts w:ascii="Times New Roman" w:eastAsia="Times New Roman" w:hAnsi="Times New Roman" w:cs="Times New Roman"/>
                              <w:color w:val="1367CF"/>
                              <w:sz w:val="24"/>
                              <w:szCs w:val="24"/>
                              <w:bdr w:val="none" w:sz="0" w:space="0" w:color="auto" w:frame="1"/>
                              <w:lang w:eastAsia="ru-RU"/>
                            </w:rPr>
                            <w:t>Туниекова Ольга Юрьевна</w:t>
                          </w:r>
                        </w:hyperlink>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Организатор:</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hyperlink r:id="rId12" w:history="1">
                          <w:r w:rsidRPr="00063670">
                            <w:rPr>
                              <w:rFonts w:ascii="Times New Roman" w:eastAsia="Times New Roman" w:hAnsi="Times New Roman" w:cs="Times New Roman"/>
                              <w:color w:val="1367CF"/>
                              <w:sz w:val="24"/>
                              <w:szCs w:val="24"/>
                              <w:bdr w:val="none" w:sz="0" w:space="0" w:color="auto" w:frame="1"/>
                              <w:lang w:eastAsia="ru-RU"/>
                            </w:rPr>
                            <w:t>Филиал АО "Тюменьэнерго" Нижневартовские электрические сети</w:t>
                          </w:r>
                        </w:hyperlink>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Заказчик:</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hyperlink r:id="rId13" w:history="1">
                          <w:r w:rsidRPr="00063670">
                            <w:rPr>
                              <w:rFonts w:ascii="Times New Roman" w:eastAsia="Times New Roman" w:hAnsi="Times New Roman" w:cs="Times New Roman"/>
                              <w:color w:val="1367CF"/>
                              <w:sz w:val="24"/>
                              <w:szCs w:val="24"/>
                              <w:bdr w:val="none" w:sz="0" w:space="0" w:color="auto" w:frame="1"/>
                              <w:lang w:eastAsia="ru-RU"/>
                            </w:rPr>
                            <w:t>АО "Тюменьэнерго"</w:t>
                          </w:r>
                        </w:hyperlink>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Почтовый адрес заказчика:</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628617, Ханты-Мансийский автономный округ-Югра, г. Нижневартовск, ул. Пермская, 22</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Местонахождение заказчика:</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628406, Россия, г. Сургут, Тюменская область, ХМАО-Югра, ул. Университетская, д.4</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Контактный адрес e-mail:</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hyperlink r:id="rId14" w:history="1">
                          <w:r w:rsidRPr="00063670">
                            <w:rPr>
                              <w:rFonts w:ascii="Times New Roman" w:eastAsia="Times New Roman" w:hAnsi="Times New Roman" w:cs="Times New Roman"/>
                              <w:color w:val="1367CF"/>
                              <w:sz w:val="24"/>
                              <w:szCs w:val="24"/>
                              <w:bdr w:val="none" w:sz="0" w:space="0" w:color="auto" w:frame="1"/>
                              <w:lang w:eastAsia="ru-RU"/>
                            </w:rPr>
                            <w:t>tuniekova-oyu@te.ru</w:t>
                          </w:r>
                        </w:hyperlink>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lastRenderedPageBreak/>
                          <w:t>Номер контактного телефона заказчика:</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+7 (3466) 48-41-89</w:t>
                        </w:r>
                      </w:p>
                    </w:tc>
                  </w:tr>
                </w:tbl>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p>
              </w:tc>
            </w:tr>
            <w:tr w:rsidR="00063670" w:rsidRPr="00063670">
              <w:trPr>
                <w:tblCellSpacing w:w="7" w:type="dxa"/>
              </w:trPr>
              <w:tc>
                <w:tcPr>
                  <w:tcW w:w="0" w:type="auto"/>
                  <w:shd w:val="clear" w:color="auto" w:fill="C7CCD3"/>
                  <w:tcMar>
                    <w:top w:w="75" w:type="dxa"/>
                    <w:left w:w="75" w:type="dxa"/>
                    <w:bottom w:w="75" w:type="dxa"/>
                    <w:right w:w="75" w:type="dxa"/>
                  </w:tcMar>
                  <w:hideMark/>
                </w:tcPr>
                <w:p w:rsidR="00063670" w:rsidRPr="00063670" w:rsidRDefault="00063670" w:rsidP="00063670">
                  <w:pPr>
                    <w:spacing w:after="0" w:line="240" w:lineRule="auto"/>
                    <w:rPr>
                      <w:rFonts w:ascii="Times New Roman" w:eastAsia="Times New Roman" w:hAnsi="Times New Roman" w:cs="Times New Roman"/>
                      <w:color w:val="333333"/>
                      <w:sz w:val="24"/>
                      <w:szCs w:val="24"/>
                      <w:lang w:eastAsia="ru-RU"/>
                    </w:rPr>
                  </w:pPr>
                  <w:r w:rsidRPr="00063670">
                    <w:rPr>
                      <w:rFonts w:ascii="Times New Roman" w:eastAsia="Times New Roman" w:hAnsi="Times New Roman" w:cs="Times New Roman"/>
                      <w:color w:val="333333"/>
                      <w:sz w:val="24"/>
                      <w:szCs w:val="24"/>
                      <w:lang w:eastAsia="ru-RU"/>
                    </w:rPr>
                    <w:lastRenderedPageBreak/>
                    <w:t>Дополнительная информация</w:t>
                  </w:r>
                </w:p>
              </w:tc>
            </w:tr>
            <w:tr w:rsidR="00063670" w:rsidRPr="0006367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Поставщик не должен находиться в реестре недобросовестных поставщиков</w:t>
                        </w:r>
                        <w:r w:rsidRPr="00063670">
                          <w:rPr>
                            <w:rFonts w:ascii="Times New Roman" w:eastAsia="Times New Roman" w:hAnsi="Times New Roman" w:cs="Times New Roman"/>
                            <w:noProof/>
                            <w:color w:val="000000"/>
                            <w:sz w:val="24"/>
                            <w:szCs w:val="24"/>
                            <w:lang w:eastAsia="ru-RU"/>
                          </w:rPr>
                          <w:drawing>
                            <wp:inline distT="0" distB="0" distL="0" distR="0" wp14:anchorId="1CB71C20" wp14:editId="4446FC00">
                              <wp:extent cx="143510" cy="143510"/>
                              <wp:effectExtent l="0" t="0" r="8890" b="889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inline>
                          </w:drawing>
                        </w:r>
                      </w:p>
                      <w:p w:rsidR="00063670" w:rsidRPr="00063670" w:rsidRDefault="00063670" w:rsidP="00063670">
                        <w:pPr>
                          <w:spacing w:after="0" w:line="240" w:lineRule="auto"/>
                          <w:rPr>
                            <w:rFonts w:ascii="Times New Roman" w:eastAsia="Times New Roman" w:hAnsi="Times New Roman" w:cs="Times New Roman"/>
                            <w:vanish/>
                            <w:color w:val="000000"/>
                            <w:sz w:val="24"/>
                            <w:szCs w:val="24"/>
                            <w:lang w:eastAsia="ru-RU"/>
                          </w:rPr>
                        </w:pPr>
                        <w:r w:rsidRPr="00063670">
                          <w:rPr>
                            <w:rFonts w:ascii="Times New Roman" w:eastAsia="Times New Roman" w:hAnsi="Times New Roman" w:cs="Times New Roman"/>
                            <w:vanish/>
                            <w:color w:val="000000"/>
                            <w:sz w:val="24"/>
                            <w:szCs w:val="24"/>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Да</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Конкурсная комиссия:</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Назначена Приказом АО «Тюменьэнерго» № 207 от 17.04.2018г.</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Требования к участникам:</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1. 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63670">
                          <w:rPr>
                            <w:rFonts w:ascii="Times New Roman" w:eastAsia="Times New Roman" w:hAnsi="Times New Roman" w:cs="Times New Roman"/>
                            <w:color w:val="000000"/>
                            <w:sz w:val="24"/>
                            <w:szCs w:val="24"/>
                            <w:lang w:eastAsia="ru-RU"/>
                          </w:rPr>
                          <w:br/>
                          <w:t>2. Участник/субподрядчик (соисполнитель, субпоставщик)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063670">
                          <w:rPr>
                            <w:rFonts w:ascii="Times New Roman" w:eastAsia="Times New Roman" w:hAnsi="Times New Roman" w:cs="Times New Roman"/>
                            <w:color w:val="000000"/>
                            <w:sz w:val="24"/>
                            <w:szCs w:val="24"/>
                            <w:lang w:eastAsia="ru-RU"/>
                          </w:rPr>
                          <w:br/>
                          <w:t>3. Обеспечение заявки на участие в закупке в размере 2% начальной цены лота.</w:t>
                        </w:r>
                        <w:r w:rsidRPr="00063670">
                          <w:rPr>
                            <w:rFonts w:ascii="Times New Roman" w:eastAsia="Times New Roman" w:hAnsi="Times New Roman" w:cs="Times New Roman"/>
                            <w:color w:val="000000"/>
                            <w:sz w:val="24"/>
                            <w:szCs w:val="24"/>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 оформленной и предоставленной в соответствии с требованиями документации.</w:t>
                        </w:r>
                        <w:r w:rsidRPr="00063670">
                          <w:rPr>
                            <w:rFonts w:ascii="Times New Roman" w:eastAsia="Times New Roman" w:hAnsi="Times New Roman" w:cs="Times New Roman"/>
                            <w:color w:val="000000"/>
                            <w:sz w:val="24"/>
                            <w:szCs w:val="24"/>
                            <w:lang w:eastAsia="ru-RU"/>
                          </w:rPr>
                          <w:br/>
                          <w:t>4. Требование к обеспечению исполнения договора:</w:t>
                        </w:r>
                        <w:r w:rsidRPr="00063670">
                          <w:rPr>
                            <w:rFonts w:ascii="Times New Roman" w:eastAsia="Times New Roman" w:hAnsi="Times New Roman" w:cs="Times New Roman"/>
                            <w:color w:val="000000"/>
                            <w:sz w:val="24"/>
                            <w:szCs w:val="24"/>
                            <w:lang w:eastAsia="ru-RU"/>
                          </w:rPr>
                          <w:br/>
                          <w:t>Требование к обеспечению исполнения договора устанавливается в соответствии с проектом договора</w:t>
                        </w:r>
                        <w:r w:rsidRPr="00063670">
                          <w:rPr>
                            <w:rFonts w:ascii="Times New Roman" w:eastAsia="Times New Roman" w:hAnsi="Times New Roman" w:cs="Times New Roman"/>
                            <w:color w:val="000000"/>
                            <w:sz w:val="24"/>
                            <w:szCs w:val="24"/>
                            <w:lang w:eastAsia="ru-RU"/>
                          </w:rPr>
                          <w:br/>
                          <w:t xml:space="preserve">Размер обеспечения исполнения договора: не более 5% цены договора. </w:t>
                        </w:r>
                        <w:r w:rsidRPr="00063670">
                          <w:rPr>
                            <w:rFonts w:ascii="Times New Roman" w:eastAsia="Times New Roman" w:hAnsi="Times New Roman" w:cs="Times New Roman"/>
                            <w:color w:val="000000"/>
                            <w:sz w:val="24"/>
                            <w:szCs w:val="24"/>
                            <w:lang w:eastAsia="ru-RU"/>
                          </w:rPr>
                          <w:br/>
                          <w:t>5. Работы/услуги/поставки, выполняемые субподрядчиками/соисполнителями/ субпоставщиками не должны превышать 50% от общего объема работ</w:t>
                        </w:r>
                        <w:r w:rsidRPr="00063670">
                          <w:rPr>
                            <w:rFonts w:ascii="Times New Roman" w:eastAsia="Times New Roman" w:hAnsi="Times New Roman" w:cs="Times New Roman"/>
                            <w:color w:val="000000"/>
                            <w:sz w:val="24"/>
                            <w:szCs w:val="24"/>
                            <w:lang w:eastAsia="ru-RU"/>
                          </w:rPr>
                          <w:br/>
                          <w:t>6. Участник/ член коллективного Участника, субподрядчик (соисполнитель/субпоставщик) должен обладать гражданской правоспособностью в полном объеме для заключения и исполнения Договора</w:t>
                        </w:r>
                        <w:r w:rsidRPr="00063670">
                          <w:rPr>
                            <w:rFonts w:ascii="Times New Roman" w:eastAsia="Times New Roman" w:hAnsi="Times New Roman" w:cs="Times New Roman"/>
                            <w:color w:val="000000"/>
                            <w:sz w:val="24"/>
                            <w:szCs w:val="24"/>
                            <w:lang w:eastAsia="ru-RU"/>
                          </w:rPr>
                          <w:br/>
                          <w:t>7. Участник/ член коллективного Участника, субподрядчик (соисполнитель/субпоставщик) должен обладать необходимыми кадровыми ресурсами в количестве не менее 24 чел. (3 бригады по 8 чел. каждая), в том числе в каждой бригаде:</w:t>
                        </w:r>
                        <w:r w:rsidRPr="00063670">
                          <w:rPr>
                            <w:rFonts w:ascii="Times New Roman" w:eastAsia="Times New Roman" w:hAnsi="Times New Roman" w:cs="Times New Roman"/>
                            <w:color w:val="000000"/>
                            <w:sz w:val="24"/>
                            <w:szCs w:val="24"/>
                            <w:lang w:eastAsia="ru-RU"/>
                          </w:rPr>
                          <w:br/>
                          <w:t xml:space="preserve">- Инженерно-технический работник - мастер </w:t>
                        </w:r>
                        <w:r w:rsidRPr="00063670">
                          <w:rPr>
                            <w:rFonts w:ascii="Times New Roman" w:eastAsia="Times New Roman" w:hAnsi="Times New Roman" w:cs="Times New Roman"/>
                            <w:color w:val="000000"/>
                            <w:sz w:val="24"/>
                            <w:szCs w:val="24"/>
                            <w:lang w:eastAsia="ru-RU"/>
                          </w:rPr>
                          <w:lastRenderedPageBreak/>
                          <w:t>(ответственный руководитель работ) - образование не ниже среднетехнического, имеющий опыт в организации проведения работ по расширению трасс ВЛ и группу по электробезопасности не ниже 5 с правом выдачи наряда-допуска - не менее 1 чел.</w:t>
                        </w:r>
                        <w:r w:rsidRPr="00063670">
                          <w:rPr>
                            <w:rFonts w:ascii="Times New Roman" w:eastAsia="Times New Roman" w:hAnsi="Times New Roman" w:cs="Times New Roman"/>
                            <w:color w:val="000000"/>
                            <w:sz w:val="24"/>
                            <w:szCs w:val="24"/>
                            <w:lang w:eastAsia="ru-RU"/>
                          </w:rPr>
                          <w:br/>
                          <w:t xml:space="preserve">- Рабочие: </w:t>
                        </w:r>
                        <w:r w:rsidRPr="00063670">
                          <w:rPr>
                            <w:rFonts w:ascii="Times New Roman" w:eastAsia="Times New Roman" w:hAnsi="Times New Roman" w:cs="Times New Roman"/>
                            <w:color w:val="000000"/>
                            <w:sz w:val="24"/>
                            <w:szCs w:val="24"/>
                            <w:lang w:eastAsia="ru-RU"/>
                          </w:rPr>
                          <w:br/>
                          <w:t>- вальщик леса, обученный работе с кусторезами и бензопилами, измельчителями, имеющий квалификационный разряд не ниже 2 и группу по электробезопасности не ниже 2 - не менее 5 чел.;</w:t>
                        </w:r>
                        <w:r w:rsidRPr="00063670">
                          <w:rPr>
                            <w:rFonts w:ascii="Times New Roman" w:eastAsia="Times New Roman" w:hAnsi="Times New Roman" w:cs="Times New Roman"/>
                            <w:color w:val="000000"/>
                            <w:sz w:val="24"/>
                            <w:szCs w:val="24"/>
                            <w:lang w:eastAsia="ru-RU"/>
                          </w:rPr>
                          <w:br/>
                          <w:t>- водитель, имеющий категории «В», «С», «Е» и группу по электробезопасности не ниже 2 - не менее 2 чел.</w:t>
                        </w:r>
                        <w:r w:rsidRPr="00063670">
                          <w:rPr>
                            <w:rFonts w:ascii="Times New Roman" w:eastAsia="Times New Roman" w:hAnsi="Times New Roman" w:cs="Times New Roman"/>
                            <w:color w:val="000000"/>
                            <w:sz w:val="24"/>
                            <w:szCs w:val="24"/>
                            <w:lang w:eastAsia="ru-RU"/>
                          </w:rPr>
                          <w:br/>
                        </w:r>
                        <w:r w:rsidRPr="00063670">
                          <w:rPr>
                            <w:rFonts w:ascii="Times New Roman" w:eastAsia="Times New Roman" w:hAnsi="Times New Roman" w:cs="Times New Roman"/>
                            <w:color w:val="000000"/>
                            <w:sz w:val="24"/>
                            <w:szCs w:val="24"/>
                            <w:lang w:eastAsia="ru-RU"/>
                          </w:rPr>
                          <w:br/>
                          <w:t>Все бригады должны быть укомплектованы средствами индивидуальной защиты, первичными средствами защиты, необходимыми инструментами, такелажем и приспособлениями для выполнения работ.</w:t>
                        </w:r>
                        <w:r w:rsidRPr="00063670">
                          <w:rPr>
                            <w:rFonts w:ascii="Times New Roman" w:eastAsia="Times New Roman" w:hAnsi="Times New Roman" w:cs="Times New Roman"/>
                            <w:color w:val="000000"/>
                            <w:sz w:val="24"/>
                            <w:szCs w:val="24"/>
                            <w:lang w:eastAsia="ru-RU"/>
                          </w:rPr>
                          <w:br/>
                          <w:t>8. Участник/ член коллективного Участника, субподрядчик (соисполнитель/субпоставщик) должен обладать необходимыми основными машинами и механизмами:</w:t>
                        </w:r>
                        <w:r w:rsidRPr="00063670">
                          <w:rPr>
                            <w:rFonts w:ascii="Times New Roman" w:eastAsia="Times New Roman" w:hAnsi="Times New Roman" w:cs="Times New Roman"/>
                            <w:color w:val="000000"/>
                            <w:sz w:val="24"/>
                            <w:szCs w:val="24"/>
                            <w:lang w:eastAsia="ru-RU"/>
                          </w:rPr>
                          <w:br/>
                          <w:t>- трелевочный трактор - не менее 2 ед.;</w:t>
                        </w:r>
                        <w:r w:rsidRPr="00063670">
                          <w:rPr>
                            <w:rFonts w:ascii="Times New Roman" w:eastAsia="Times New Roman" w:hAnsi="Times New Roman" w:cs="Times New Roman"/>
                            <w:color w:val="000000"/>
                            <w:sz w:val="24"/>
                            <w:szCs w:val="24"/>
                            <w:lang w:eastAsia="ru-RU"/>
                          </w:rPr>
                          <w:br/>
                          <w:t>- корчеватель – не менее 2 ед.;</w:t>
                        </w:r>
                        <w:r w:rsidRPr="00063670">
                          <w:rPr>
                            <w:rFonts w:ascii="Times New Roman" w:eastAsia="Times New Roman" w:hAnsi="Times New Roman" w:cs="Times New Roman"/>
                            <w:color w:val="000000"/>
                            <w:sz w:val="24"/>
                            <w:szCs w:val="24"/>
                            <w:lang w:eastAsia="ru-RU"/>
                          </w:rPr>
                          <w:br/>
                          <w:t>- автопогрузчик – не менее 2 ед.;</w:t>
                        </w:r>
                        <w:r w:rsidRPr="00063670">
                          <w:rPr>
                            <w:rFonts w:ascii="Times New Roman" w:eastAsia="Times New Roman" w:hAnsi="Times New Roman" w:cs="Times New Roman"/>
                            <w:color w:val="000000"/>
                            <w:sz w:val="24"/>
                            <w:szCs w:val="24"/>
                            <w:lang w:eastAsia="ru-RU"/>
                          </w:rPr>
                          <w:br/>
                          <w:t>- грузовой автомобиль повышенной проходимости – не менее 2 ед.;</w:t>
                        </w:r>
                        <w:r w:rsidRPr="00063670">
                          <w:rPr>
                            <w:rFonts w:ascii="Times New Roman" w:eastAsia="Times New Roman" w:hAnsi="Times New Roman" w:cs="Times New Roman"/>
                            <w:color w:val="000000"/>
                            <w:sz w:val="24"/>
                            <w:szCs w:val="24"/>
                            <w:lang w:eastAsia="ru-RU"/>
                          </w:rPr>
                          <w:br/>
                          <w:t>- бульдозер - не менее 2 ед.;</w:t>
                        </w:r>
                        <w:r w:rsidRPr="00063670">
                          <w:rPr>
                            <w:rFonts w:ascii="Times New Roman" w:eastAsia="Times New Roman" w:hAnsi="Times New Roman" w:cs="Times New Roman"/>
                            <w:color w:val="000000"/>
                            <w:sz w:val="24"/>
                            <w:szCs w:val="24"/>
                            <w:lang w:eastAsia="ru-RU"/>
                          </w:rPr>
                          <w:br/>
                          <w:t>- тракторный прицеп – не менее 2 ед.;</w:t>
                        </w:r>
                        <w:r w:rsidRPr="00063670">
                          <w:rPr>
                            <w:rFonts w:ascii="Times New Roman" w:eastAsia="Times New Roman" w:hAnsi="Times New Roman" w:cs="Times New Roman"/>
                            <w:color w:val="000000"/>
                            <w:sz w:val="24"/>
                            <w:szCs w:val="24"/>
                            <w:lang w:eastAsia="ru-RU"/>
                          </w:rPr>
                          <w:br/>
                          <w:t>- мульчер – не менее 2 ед.;</w:t>
                        </w:r>
                        <w:r w:rsidRPr="00063670">
                          <w:rPr>
                            <w:rFonts w:ascii="Times New Roman" w:eastAsia="Times New Roman" w:hAnsi="Times New Roman" w:cs="Times New Roman"/>
                            <w:color w:val="000000"/>
                            <w:sz w:val="24"/>
                            <w:szCs w:val="24"/>
                            <w:lang w:eastAsia="ru-RU"/>
                          </w:rPr>
                          <w:br/>
                          <w:t>- техника повышенной проходимости для перевозки людей по трассе - не менее 2 ед.;</w:t>
                        </w:r>
                        <w:r w:rsidRPr="00063670">
                          <w:rPr>
                            <w:rFonts w:ascii="Times New Roman" w:eastAsia="Times New Roman" w:hAnsi="Times New Roman" w:cs="Times New Roman"/>
                            <w:color w:val="000000"/>
                            <w:sz w:val="24"/>
                            <w:szCs w:val="24"/>
                            <w:lang w:eastAsia="ru-RU"/>
                          </w:rPr>
                          <w:br/>
                          <w:t>- кусторез - не менее 6 ед.;</w:t>
                        </w:r>
                        <w:r w:rsidRPr="00063670">
                          <w:rPr>
                            <w:rFonts w:ascii="Times New Roman" w:eastAsia="Times New Roman" w:hAnsi="Times New Roman" w:cs="Times New Roman"/>
                            <w:color w:val="000000"/>
                            <w:sz w:val="24"/>
                            <w:szCs w:val="24"/>
                            <w:lang w:eastAsia="ru-RU"/>
                          </w:rPr>
                          <w:br/>
                          <w:t>- бензомоторная пила - не менее 9 ед.;</w:t>
                        </w:r>
                        <w:r w:rsidRPr="00063670">
                          <w:rPr>
                            <w:rFonts w:ascii="Times New Roman" w:eastAsia="Times New Roman" w:hAnsi="Times New Roman" w:cs="Times New Roman"/>
                            <w:color w:val="000000"/>
                            <w:sz w:val="24"/>
                            <w:szCs w:val="24"/>
                            <w:lang w:eastAsia="ru-RU"/>
                          </w:rPr>
                          <w:br/>
                          <w:t>- мобильное жилье для проживания на трассе ВЛ задействованного персонала;</w:t>
                        </w:r>
                        <w:r w:rsidRPr="00063670">
                          <w:rPr>
                            <w:rFonts w:ascii="Times New Roman" w:eastAsia="Times New Roman" w:hAnsi="Times New Roman" w:cs="Times New Roman"/>
                            <w:color w:val="000000"/>
                            <w:sz w:val="24"/>
                            <w:szCs w:val="24"/>
                            <w:lang w:eastAsia="ru-RU"/>
                          </w:rPr>
                          <w:br/>
                          <w:t>- средства связи (спутниковая и т.п.), для оперативной двусторонней связи с работающими бригадами на трассе ВЛ - не менее 1 ед. на каждую бригаду;</w:t>
                        </w:r>
                        <w:r w:rsidRPr="00063670">
                          <w:rPr>
                            <w:rFonts w:ascii="Times New Roman" w:eastAsia="Times New Roman" w:hAnsi="Times New Roman" w:cs="Times New Roman"/>
                            <w:color w:val="000000"/>
                            <w:sz w:val="24"/>
                            <w:szCs w:val="24"/>
                            <w:lang w:eastAsia="ru-RU"/>
                          </w:rPr>
                          <w:br/>
                          <w:t>- геодезический комплект (теодолит или тахеометр, рейка геодезическая, геодезическая лента, сигнальные вешки).</w:t>
                        </w:r>
                        <w:r w:rsidRPr="00063670">
                          <w:rPr>
                            <w:rFonts w:ascii="Times New Roman" w:eastAsia="Times New Roman" w:hAnsi="Times New Roman" w:cs="Times New Roman"/>
                            <w:color w:val="000000"/>
                            <w:sz w:val="24"/>
                            <w:szCs w:val="24"/>
                            <w:lang w:eastAsia="ru-RU"/>
                          </w:rPr>
                          <w:br/>
                          <w:t>9. Техническое и коммерческое предложения должны соответствовать требованиям Заказчика</w:t>
                        </w:r>
                        <w:r w:rsidRPr="00063670">
                          <w:rPr>
                            <w:rFonts w:ascii="Times New Roman" w:eastAsia="Times New Roman" w:hAnsi="Times New Roman" w:cs="Times New Roman"/>
                            <w:color w:val="000000"/>
                            <w:sz w:val="24"/>
                            <w:szCs w:val="24"/>
                            <w:lang w:eastAsia="ru-RU"/>
                          </w:rPr>
                          <w:br/>
                          <w:t xml:space="preserve">10. Персонал Участника/ член коллективного Участника, субподрядчик (соисполнитель/субпоставщик) должен быть обучен </w:t>
                        </w:r>
                        <w:r w:rsidRPr="00063670">
                          <w:rPr>
                            <w:rFonts w:ascii="Times New Roman" w:eastAsia="Times New Roman" w:hAnsi="Times New Roman" w:cs="Times New Roman"/>
                            <w:color w:val="000000"/>
                            <w:sz w:val="24"/>
                            <w:szCs w:val="24"/>
                            <w:lang w:eastAsia="ru-RU"/>
                          </w:rPr>
                          <w:lastRenderedPageBreak/>
                          <w:t>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063670">
                          <w:rPr>
                            <w:rFonts w:ascii="Times New Roman" w:eastAsia="Times New Roman" w:hAnsi="Times New Roman" w:cs="Times New Roman"/>
                            <w:color w:val="000000"/>
                            <w:sz w:val="24"/>
                            <w:szCs w:val="24"/>
                            <w:lang w:eastAsia="ru-RU"/>
                          </w:rPr>
                          <w:br/>
                          <w:t>11. Требования к благонадежности Участника, членам коллективного Участника, субподрядчика (соисполнителя/субпоставщика)</w:t>
                        </w:r>
                        <w:r w:rsidRPr="00063670">
                          <w:rPr>
                            <w:rFonts w:ascii="Times New Roman" w:eastAsia="Times New Roman" w:hAnsi="Times New Roman" w:cs="Times New Roman"/>
                            <w:color w:val="000000"/>
                            <w:sz w:val="24"/>
                            <w:szCs w:val="24"/>
                            <w:lang w:eastAsia="ru-RU"/>
                          </w:rPr>
                          <w:br/>
                          <w:t>а) Участник, в составе письма о подаче оферты (форма 1), должен дать согласие на проведение проверки благонадежности Департаментом экономической безопасности и противодействия коррупции АО «Тюменьэнерго»;</w:t>
                        </w:r>
                        <w:r w:rsidRPr="00063670">
                          <w:rPr>
                            <w:rFonts w:ascii="Times New Roman" w:eastAsia="Times New Roman" w:hAnsi="Times New Roman" w:cs="Times New Roman"/>
                            <w:color w:val="000000"/>
                            <w:sz w:val="24"/>
                            <w:szCs w:val="24"/>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063670">
                          <w:rPr>
                            <w:rFonts w:ascii="Times New Roman" w:eastAsia="Times New Roman" w:hAnsi="Times New Roman" w:cs="Times New Roman"/>
                            <w:color w:val="000000"/>
                            <w:sz w:val="24"/>
                            <w:szCs w:val="24"/>
                            <w:lang w:eastAsia="ru-RU"/>
                          </w:rPr>
                          <w:br/>
                          <w:t>в) деятельность Участника должна быть безубыточной за последний завершенный год;</w:t>
                        </w:r>
                        <w:r w:rsidRPr="00063670">
                          <w:rPr>
                            <w:rFonts w:ascii="Times New Roman" w:eastAsia="Times New Roman" w:hAnsi="Times New Roman" w:cs="Times New Roman"/>
                            <w:color w:val="000000"/>
                            <w:sz w:val="24"/>
                            <w:szCs w:val="24"/>
                            <w:lang w:eastAsia="ru-RU"/>
                          </w:rPr>
                          <w:br/>
                          <w:t>г) экономическая деятельность Участника не должна быть приостановлена в административном порядке;</w:t>
                        </w:r>
                        <w:r w:rsidRPr="00063670">
                          <w:rPr>
                            <w:rFonts w:ascii="Times New Roman" w:eastAsia="Times New Roman" w:hAnsi="Times New Roman" w:cs="Times New Roman"/>
                            <w:color w:val="000000"/>
                            <w:sz w:val="24"/>
                            <w:szCs w:val="24"/>
                            <w:lang w:eastAsia="ru-RU"/>
                          </w:rPr>
                          <w:br/>
                          <w:t>д) Участник не должен иметь задолженность по уплате налогов, сборов, страховых взносов, пеней штрафов, процентов, согласно справке, об отсутствии задолженности по уплате по уплате налогов, сборов, страховых взносов, пеней штрафов, процентов в соответствии с действующим законодательством Российской Федерации;</w:t>
                        </w:r>
                        <w:r w:rsidRPr="00063670">
                          <w:rPr>
                            <w:rFonts w:ascii="Times New Roman" w:eastAsia="Times New Roman" w:hAnsi="Times New Roman" w:cs="Times New Roman"/>
                            <w:color w:val="000000"/>
                            <w:sz w:val="24"/>
                            <w:szCs w:val="24"/>
                            <w:lang w:eastAsia="ru-RU"/>
                          </w:rPr>
                          <w:br/>
                          <w:t>е) на имущество Участника не должен быть наложен арест;</w:t>
                        </w:r>
                        <w:r w:rsidRPr="00063670">
                          <w:rPr>
                            <w:rFonts w:ascii="Times New Roman" w:eastAsia="Times New Roman" w:hAnsi="Times New Roman" w:cs="Times New Roman"/>
                            <w:color w:val="000000"/>
                            <w:sz w:val="24"/>
                            <w:szCs w:val="24"/>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063670">
                          <w:rPr>
                            <w:rFonts w:ascii="Times New Roman" w:eastAsia="Times New Roman" w:hAnsi="Times New Roman" w:cs="Times New Roman"/>
                            <w:color w:val="000000"/>
                            <w:sz w:val="24"/>
                            <w:szCs w:val="24"/>
                            <w:lang w:eastAsia="ru-RU"/>
                          </w:rPr>
                          <w:br/>
                          <w:t>з) отсутствие сведений об Участнике закупки и привлекаемых им субподрядчиков в следующих реестрах:</w:t>
                        </w:r>
                        <w:r w:rsidRPr="00063670">
                          <w:rPr>
                            <w:rFonts w:ascii="Times New Roman" w:eastAsia="Times New Roman" w:hAnsi="Times New Roman" w:cs="Times New Roman"/>
                            <w:color w:val="000000"/>
                            <w:sz w:val="24"/>
                            <w:szCs w:val="24"/>
                            <w:lang w:eastAsia="ru-RU"/>
                          </w:rPr>
                          <w:br/>
                          <w:t>- реестре недобросовестных поставщиков, предусмотренном Федеральным законом от 18 июля 2011 г. N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на электронном портале http://zakupki.gov.ru/;</w:t>
                        </w:r>
                        <w:r w:rsidRPr="00063670">
                          <w:rPr>
                            <w:rFonts w:ascii="Times New Roman" w:eastAsia="Times New Roman" w:hAnsi="Times New Roman" w:cs="Times New Roman"/>
                            <w:color w:val="000000"/>
                            <w:sz w:val="24"/>
                            <w:szCs w:val="24"/>
                            <w:lang w:eastAsia="ru-RU"/>
                          </w:rPr>
                          <w:br/>
                          <w:t>- едином федеральном реестре о банкротствах https://bankrot.fedresurs.ru/;</w:t>
                        </w:r>
                        <w:r w:rsidRPr="00063670">
                          <w:rPr>
                            <w:rFonts w:ascii="Times New Roman" w:eastAsia="Times New Roman" w:hAnsi="Times New Roman" w:cs="Times New Roman"/>
                            <w:color w:val="000000"/>
                            <w:sz w:val="24"/>
                            <w:szCs w:val="24"/>
                            <w:lang w:eastAsia="ru-RU"/>
                          </w:rPr>
                          <w:br/>
                        </w:r>
                        <w:r w:rsidRPr="00063670">
                          <w:rPr>
                            <w:rFonts w:ascii="Times New Roman" w:eastAsia="Times New Roman" w:hAnsi="Times New Roman" w:cs="Times New Roman"/>
                            <w:color w:val="000000"/>
                            <w:sz w:val="24"/>
                            <w:szCs w:val="24"/>
                            <w:lang w:eastAsia="ru-RU"/>
                          </w:rPr>
                          <w:lastRenderedPageBreak/>
                          <w:t>- реестре о возбужденных исполнительных производствах на электронном портале http://fssprus.ru/;</w:t>
                        </w:r>
                        <w:r w:rsidRPr="00063670">
                          <w:rPr>
                            <w:rFonts w:ascii="Times New Roman" w:eastAsia="Times New Roman" w:hAnsi="Times New Roman" w:cs="Times New Roman"/>
                            <w:color w:val="000000"/>
                            <w:sz w:val="24"/>
                            <w:szCs w:val="24"/>
                            <w:lang w:eastAsia="ru-RU"/>
                          </w:rPr>
                          <w:br/>
                          <w:t>и) Участник не должен быть аффилирован к другим Участникам закупки;</w:t>
                        </w:r>
                        <w:r w:rsidRPr="00063670">
                          <w:rPr>
                            <w:rFonts w:ascii="Times New Roman" w:eastAsia="Times New Roman" w:hAnsi="Times New Roman" w:cs="Times New Roman"/>
                            <w:color w:val="000000"/>
                            <w:sz w:val="24"/>
                            <w:szCs w:val="24"/>
                            <w:lang w:eastAsia="ru-RU"/>
                          </w:rPr>
                          <w:br/>
                          <w:t>к) отсутствие у АО "Тюменьэнерго" информации о наличии за последние 12 месяцев до даты размещения извещения о закупке, вступивших в законную силу судебных актов, подтверждающих неисполнение или ненадлежащее исполнение Участником договорных обязательств по поставке участником товаров, выполнению им работ, оказанию им услуг;</w:t>
                        </w:r>
                        <w:r w:rsidRPr="00063670">
                          <w:rPr>
                            <w:rFonts w:ascii="Times New Roman" w:eastAsia="Times New Roman" w:hAnsi="Times New Roman" w:cs="Times New Roman"/>
                            <w:color w:val="000000"/>
                            <w:sz w:val="24"/>
                            <w:szCs w:val="24"/>
                            <w:lang w:eastAsia="ru-RU"/>
                          </w:rPr>
                          <w:br/>
                          <w:t>л) отсутствие сведений об исключении Участника из ЕГРЮЛ/ЕГРИП;</w:t>
                        </w:r>
                        <w:r w:rsidRPr="00063670">
                          <w:rPr>
                            <w:rFonts w:ascii="Times New Roman" w:eastAsia="Times New Roman" w:hAnsi="Times New Roman" w:cs="Times New Roman"/>
                            <w:color w:val="000000"/>
                            <w:sz w:val="24"/>
                            <w:szCs w:val="24"/>
                            <w:lang w:eastAsia="ru-RU"/>
                          </w:rPr>
                          <w:br/>
                          <w:t>м) отсутствие фактов предоставления Участником недостоверных сведений и документов в рамках закупочной процедуры, либо предоставления неполного пакета учредительных, финансовых документов, в том числе, о конечных бенефициарах;</w:t>
                        </w:r>
                        <w:r w:rsidRPr="00063670">
                          <w:rPr>
                            <w:rFonts w:ascii="Times New Roman" w:eastAsia="Times New Roman" w:hAnsi="Times New Roman" w:cs="Times New Roman"/>
                            <w:color w:val="000000"/>
                            <w:sz w:val="24"/>
                            <w:szCs w:val="24"/>
                            <w:lang w:eastAsia="ru-RU"/>
                          </w:rPr>
                          <w:br/>
                          <w:t>н) отсутствие за последние 36 месяцев до даты размещения извещения о закупке в данной закупочной процедуре, фактов одностороннего отказа АО «Тюменьэнерго» от исполнения заключенного(ых) с Участником закупки аналогичных предмету закупки договора(ов) в связи с ненадлежащим выполнением Участником обязательств: по поставке товаров участником, выполнению им работ, оказанию им услуг, в том числе когда Участник не приступил/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 а также фактов наличия вступивших в законную силу решений суда о расторжении аналогичного предмету закупки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заключенного(ых) с АО "Тюменьэнерго" аналогичных предмету закупки договора (ов);</w:t>
                        </w:r>
                        <w:r w:rsidRPr="00063670">
                          <w:rPr>
                            <w:rFonts w:ascii="Times New Roman" w:eastAsia="Times New Roman" w:hAnsi="Times New Roman" w:cs="Times New Roman"/>
                            <w:color w:val="000000"/>
                            <w:sz w:val="24"/>
                            <w:szCs w:val="24"/>
                            <w:lang w:eastAsia="ru-RU"/>
                          </w:rPr>
                          <w:br/>
                          <w:t xml:space="preserve">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w:t>
                        </w:r>
                        <w:r w:rsidRPr="00063670">
                          <w:rPr>
                            <w:rFonts w:ascii="Times New Roman" w:eastAsia="Times New Roman" w:hAnsi="Times New Roman" w:cs="Times New Roman"/>
                            <w:color w:val="000000"/>
                            <w:sz w:val="24"/>
                            <w:szCs w:val="24"/>
                            <w:lang w:eastAsia="ru-RU"/>
                          </w:rPr>
                          <w:lastRenderedPageBreak/>
                          <w:t>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063670">
                          <w:rPr>
                            <w:rFonts w:ascii="Times New Roman" w:eastAsia="Times New Roman" w:hAnsi="Times New Roman" w:cs="Times New Roman"/>
                            <w:color w:val="000000"/>
                            <w:sz w:val="24"/>
                            <w:szCs w:val="24"/>
                            <w:lang w:eastAsia="ru-RU"/>
                          </w:rPr>
                          <w:br/>
                          <w:t xml:space="preserve">п) отсутствие двух и более отрицательных заключений ДЭБиПК АО «Тюменьэнерго», вынесенных в течение 12 календарных месяцев до даты размещения извещения о закупке в данной закупочной процедуре, за предоставление недостоверных сведений в рамках проводимых закупочных процедур АО «Тюменьэнерго». </w:t>
                        </w:r>
                        <w:r w:rsidRPr="00063670">
                          <w:rPr>
                            <w:rFonts w:ascii="Times New Roman" w:eastAsia="Times New Roman" w:hAnsi="Times New Roman" w:cs="Times New Roman"/>
                            <w:color w:val="000000"/>
                            <w:sz w:val="24"/>
                            <w:szCs w:val="24"/>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ДЭБиПК АО "Тюменьэнерго".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(ДЭБиПК АО "Тюменьэнерго").</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lastRenderedPageBreak/>
                          <w:t>Комплект конкурсной документации:</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Конкурсную документацию возможно получить на официальном сайте РФ – www.zakupki.gov.ru, электронной торговой площадке - http://www.b2b-mrsk.ru/, начиная с даты размещения закупки.</w:t>
                        </w:r>
                        <w:r w:rsidRPr="00063670">
                          <w:rPr>
                            <w:rFonts w:ascii="Times New Roman" w:eastAsia="Times New Roman" w:hAnsi="Times New Roman" w:cs="Times New Roman"/>
                            <w:color w:val="000000"/>
                            <w:sz w:val="24"/>
                            <w:szCs w:val="24"/>
                            <w:lang w:eastAsia="ru-RU"/>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Конкурсная документация:</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hyperlink r:id="rId16" w:tgtFrame="_blank" w:history="1">
                          <w:r w:rsidRPr="00063670">
                            <w:rPr>
                              <w:rFonts w:ascii="Times New Roman" w:eastAsia="Times New Roman" w:hAnsi="Times New Roman" w:cs="Times New Roman"/>
                              <w:color w:val="1367CF"/>
                              <w:sz w:val="24"/>
                              <w:szCs w:val="24"/>
                              <w:bdr w:val="none" w:sz="0" w:space="0" w:color="auto" w:frame="1"/>
                              <w:lang w:eastAsia="ru-RU"/>
                            </w:rPr>
                            <w:t xml:space="preserve">Скачать файл </w:t>
                          </w:r>
                          <w:r w:rsidRPr="00063670">
                            <w:rPr>
                              <w:rFonts w:ascii="Times New Roman" w:eastAsia="Times New Roman" w:hAnsi="Times New Roman" w:cs="Times New Roman"/>
                              <w:b/>
                              <w:bCs/>
                              <w:color w:val="1367CF"/>
                              <w:sz w:val="24"/>
                              <w:szCs w:val="24"/>
                              <w:bdr w:val="none" w:sz="0" w:space="0" w:color="auto" w:frame="1"/>
                              <w:lang w:eastAsia="ru-RU"/>
                            </w:rPr>
                            <w:t>КД.zip</w:t>
                          </w:r>
                        </w:hyperlink>
                        <w:r w:rsidRPr="00063670">
                          <w:rPr>
                            <w:rFonts w:ascii="Times New Roman" w:eastAsia="Times New Roman" w:hAnsi="Times New Roman" w:cs="Times New Roman"/>
                            <w:color w:val="000000"/>
                            <w:sz w:val="24"/>
                            <w:szCs w:val="24"/>
                            <w:lang w:eastAsia="ru-RU"/>
                          </w:rPr>
                          <w:t> (7.2 МБ)</w:t>
                        </w:r>
                      </w:p>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hyperlink r:id="rId17" w:tgtFrame="_blank" w:history="1">
                          <w:r w:rsidRPr="00063670">
                            <w:rPr>
                              <w:rFonts w:ascii="Times New Roman" w:eastAsia="Times New Roman" w:hAnsi="Times New Roman" w:cs="Times New Roman"/>
                              <w:color w:val="1367CF"/>
                              <w:sz w:val="24"/>
                              <w:szCs w:val="24"/>
                              <w:bdr w:val="none" w:sz="0" w:space="0" w:color="auto" w:frame="1"/>
                              <w:lang w:eastAsia="ru-RU"/>
                            </w:rPr>
                            <w:t xml:space="preserve">Скачать файл </w:t>
                          </w:r>
                          <w:r w:rsidRPr="00063670">
                            <w:rPr>
                              <w:rFonts w:ascii="Times New Roman" w:eastAsia="Times New Roman" w:hAnsi="Times New Roman" w:cs="Times New Roman"/>
                              <w:b/>
                              <w:bCs/>
                              <w:color w:val="1367CF"/>
                              <w:sz w:val="24"/>
                              <w:szCs w:val="24"/>
                              <w:bdr w:val="none" w:sz="0" w:space="0" w:color="auto" w:frame="1"/>
                              <w:lang w:eastAsia="ru-RU"/>
                            </w:rPr>
                            <w:t>Проект освоения лесов.zip</w:t>
                          </w:r>
                        </w:hyperlink>
                        <w:r w:rsidRPr="00063670">
                          <w:rPr>
                            <w:rFonts w:ascii="Times New Roman" w:eastAsia="Times New Roman" w:hAnsi="Times New Roman" w:cs="Times New Roman"/>
                            <w:color w:val="000000"/>
                            <w:sz w:val="24"/>
                            <w:szCs w:val="24"/>
                            <w:lang w:eastAsia="ru-RU"/>
                          </w:rPr>
                          <w:t> (10.1 МБ)</w:t>
                        </w:r>
                      </w:p>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hyperlink r:id="rId18" w:history="1">
                          <w:r w:rsidRPr="00063670">
                            <w:rPr>
                              <w:rFonts w:ascii="Times New Roman" w:eastAsia="Times New Roman" w:hAnsi="Times New Roman" w:cs="Times New Roman"/>
                              <w:color w:val="1367CF"/>
                              <w:sz w:val="24"/>
                              <w:szCs w:val="24"/>
                              <w:bdr w:val="none" w:sz="0" w:space="0" w:color="auto" w:frame="1"/>
                              <w:lang w:eastAsia="ru-RU"/>
                            </w:rPr>
                            <w:t>Получить все файлы единым архивом</w:t>
                          </w:r>
                        </w:hyperlink>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Конкурсные заявки:</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с момента публикации извещения о закупке и до срока окончания подачи заявок (время и дата указаны в Извещении).</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Критерии выбора победителя:</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Указаны в приложении №3 к Конкурсной документации.</w:t>
                        </w:r>
                        <w:r w:rsidRPr="00063670">
                          <w:rPr>
                            <w:rFonts w:ascii="Times New Roman" w:eastAsia="Times New Roman" w:hAnsi="Times New Roman" w:cs="Times New Roman"/>
                            <w:color w:val="000000"/>
                            <w:sz w:val="24"/>
                            <w:szCs w:val="24"/>
                            <w:lang w:eastAsia="ru-RU"/>
                          </w:rPr>
                          <w:br/>
                        </w:r>
                        <w:r w:rsidRPr="00063670">
                          <w:rPr>
                            <w:rFonts w:ascii="Times New Roman" w:eastAsia="Times New Roman" w:hAnsi="Times New Roman" w:cs="Times New Roman"/>
                            <w:color w:val="000000"/>
                            <w:sz w:val="24"/>
                            <w:szCs w:val="24"/>
                            <w:lang w:eastAsia="ru-RU"/>
                          </w:rPr>
                          <w:br/>
                          <w:t xml:space="preserve">Конкурсная комиссия на своем заседании определяет Победителя Конкурса, как Участника Конкурса, </w:t>
                        </w:r>
                        <w:r w:rsidRPr="00063670">
                          <w:rPr>
                            <w:rFonts w:ascii="Times New Roman" w:eastAsia="Times New Roman" w:hAnsi="Times New Roman" w:cs="Times New Roman"/>
                            <w:color w:val="000000"/>
                            <w:sz w:val="24"/>
                            <w:szCs w:val="24"/>
                            <w:lang w:eastAsia="ru-RU"/>
                          </w:rPr>
                          <w:lastRenderedPageBreak/>
                          <w:t>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lastRenderedPageBreak/>
                          <w:t>Сроки заключения договора:</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о результатах конкурса)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о результатах конкурса,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Место рассмотрения заявок:</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Тюменская область, Ханты-Мансийский автономный округ-Югра, г. Нижневартовск, ул. Пермская, 22</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Дата и время рассмотрения заявок:</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31.07.2018 15:00</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Дата и время подведения итогов:</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10.08.2018 15:00</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Место подведения итогов:</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Тюменская область, Ханты-Мансийский автономный округ-Югра, г. Нижневартовск, ул. Пермская, 22</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Место проведения процедуры:</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Порядок предоставления документации по закупке:</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63670" w:rsidRPr="00063670">
                    <w:trPr>
                      <w:tblCellSpacing w:w="0" w:type="dxa"/>
                    </w:trPr>
                    <w:tc>
                      <w:tcPr>
                        <w:tcW w:w="2000" w:type="pct"/>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Дополнительная информация о конкурсе:</w:t>
                        </w:r>
                      </w:p>
                    </w:tc>
                    <w:tc>
                      <w:tcPr>
                        <w:tcW w:w="0" w:type="auto"/>
                        <w:shd w:val="clear" w:color="auto" w:fill="EDF0F3"/>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t xml:space="preserve">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w:t>
                        </w:r>
                        <w:r w:rsidRPr="00063670">
                          <w:rPr>
                            <w:rFonts w:ascii="Times New Roman" w:eastAsia="Times New Roman" w:hAnsi="Times New Roman" w:cs="Times New Roman"/>
                            <w:color w:val="000000"/>
                            <w:sz w:val="24"/>
                            <w:szCs w:val="24"/>
                            <w:lang w:eastAsia="ru-RU"/>
                          </w:rPr>
                          <w:lastRenderedPageBreak/>
                          <w:t>индивидуальный предприниматель</w:t>
                        </w:r>
                        <w:r w:rsidRPr="00063670">
                          <w:rPr>
                            <w:rFonts w:ascii="Times New Roman" w:eastAsia="Times New Roman" w:hAnsi="Times New Roman" w:cs="Times New Roman"/>
                            <w:color w:val="000000"/>
                            <w:sz w:val="24"/>
                            <w:szCs w:val="24"/>
                            <w:lang w:eastAsia="ru-RU"/>
                          </w:rPr>
                          <w:b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063670">
                          <w:rPr>
                            <w:rFonts w:ascii="Times New Roman" w:eastAsia="Times New Roman" w:hAnsi="Times New Roman" w:cs="Times New Roman"/>
                            <w:color w:val="000000"/>
                            <w:sz w:val="24"/>
                            <w:szCs w:val="24"/>
                            <w:lang w:eastAsia="ru-RU"/>
                          </w:rPr>
                          <w:b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063670">
                          <w:rPr>
                            <w:rFonts w:ascii="Times New Roman" w:eastAsia="Times New Roman" w:hAnsi="Times New Roman" w:cs="Times New Roman"/>
                            <w:color w:val="000000"/>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63670">
                          <w:rPr>
                            <w:rFonts w:ascii="Times New Roman" w:eastAsia="Times New Roman" w:hAnsi="Times New Roman" w:cs="Times New Roman"/>
                            <w:color w:val="000000"/>
                            <w:sz w:val="24"/>
                            <w:szCs w:val="24"/>
                            <w:lang w:eastAsia="ru-RU"/>
                          </w:rPr>
                          <w:br/>
                          <w:t>Информация о закупке размещена на Официальном сайте РФ – www.zakupki.gov.ru, на электронно торговой площадке - http://www.b2b-MRSK.ru/ , а также на сайте Заказчика по адресу: www.te.ru в разделе «Закупки» и доступна для ознакомления без взимания платы.</w:t>
                        </w:r>
                        <w:r w:rsidRPr="00063670">
                          <w:rPr>
                            <w:rFonts w:ascii="Times New Roman" w:eastAsia="Times New Roman" w:hAnsi="Times New Roman" w:cs="Times New Roman"/>
                            <w:color w:val="000000"/>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063670">
                          <w:rPr>
                            <w:rFonts w:ascii="Times New Roman" w:eastAsia="Times New Roman" w:hAnsi="Times New Roman" w:cs="Times New Roman"/>
                            <w:color w:val="000000"/>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63670">
                          <w:rPr>
                            <w:rFonts w:ascii="Times New Roman" w:eastAsia="Times New Roman" w:hAnsi="Times New Roman" w:cs="Times New Roman"/>
                            <w:color w:val="000000"/>
                            <w:sz w:val="24"/>
                            <w:szCs w:val="24"/>
                            <w:lang w:eastAsia="ru-RU"/>
                          </w:rPr>
                          <w:br/>
                          <w:t>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Конкурсной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063670">
                          <w:rPr>
                            <w:rFonts w:ascii="Times New Roman" w:eastAsia="Times New Roman" w:hAnsi="Times New Roman" w:cs="Times New Roman"/>
                            <w:color w:val="000000"/>
                            <w:sz w:val="24"/>
                            <w:szCs w:val="24"/>
                            <w:lang w:eastAsia="ru-RU"/>
                          </w:rPr>
                          <w:br/>
                          <w:t xml:space="preserve">Организатор конкурса имеет право отказаться от проведения конкурса в любое время до подписания </w:t>
                        </w:r>
                        <w:r w:rsidRPr="00063670">
                          <w:rPr>
                            <w:rFonts w:ascii="Times New Roman" w:eastAsia="Times New Roman" w:hAnsi="Times New Roman" w:cs="Times New Roman"/>
                            <w:color w:val="000000"/>
                            <w:sz w:val="24"/>
                            <w:szCs w:val="24"/>
                            <w:lang w:eastAsia="ru-RU"/>
                          </w:rPr>
                          <w:lastRenderedPageBreak/>
                          <w:t xml:space="preserve">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63670">
                          <w:rPr>
                            <w:rFonts w:ascii="Times New Roman" w:eastAsia="Times New Roman" w:hAnsi="Times New Roman" w:cs="Times New Roman"/>
                            <w:color w:val="000000"/>
                            <w:sz w:val="24"/>
                            <w:szCs w:val="2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063670" w:rsidRPr="00063670">
                    <w:trPr>
                      <w:tblCellSpacing w:w="0" w:type="dxa"/>
                    </w:trPr>
                    <w:tc>
                      <w:tcPr>
                        <w:tcW w:w="2000" w:type="pct"/>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r w:rsidRPr="00063670">
                          <w:rPr>
                            <w:rFonts w:ascii="Times New Roman" w:eastAsia="Times New Roman" w:hAnsi="Times New Roman" w:cs="Times New Roman"/>
                            <w:color w:val="000000"/>
                            <w:sz w:val="24"/>
                            <w:szCs w:val="24"/>
                            <w:lang w:eastAsia="ru-RU"/>
                          </w:rPr>
                          <w:lastRenderedPageBreak/>
                          <w:t>Информация о подписи:</w:t>
                        </w:r>
                      </w:p>
                    </w:tc>
                    <w:tc>
                      <w:tcPr>
                        <w:tcW w:w="0" w:type="auto"/>
                        <w:shd w:val="clear" w:color="auto" w:fill="DDE3EB"/>
                        <w:hideMark/>
                      </w:tcPr>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hyperlink r:id="rId19" w:tgtFrame="signature" w:history="1">
                          <w:r w:rsidRPr="00063670">
                            <w:rPr>
                              <w:rFonts w:ascii="Times New Roman" w:eastAsia="Times New Roman" w:hAnsi="Times New Roman" w:cs="Times New Roman"/>
                              <w:color w:val="1367CF"/>
                              <w:sz w:val="24"/>
                              <w:szCs w:val="24"/>
                              <w:bdr w:val="none" w:sz="0" w:space="0" w:color="auto" w:frame="1"/>
                              <w:lang w:eastAsia="ru-RU"/>
                            </w:rPr>
                            <w:t>Подписано ЭП</w:t>
                          </w:r>
                        </w:hyperlink>
                      </w:p>
                    </w:tc>
                  </w:tr>
                </w:tbl>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p>
              </w:tc>
            </w:tr>
          </w:tbl>
          <w:p w:rsidR="00063670" w:rsidRPr="00063670" w:rsidRDefault="00063670" w:rsidP="00063670">
            <w:pPr>
              <w:spacing w:after="0" w:line="240" w:lineRule="auto"/>
              <w:rPr>
                <w:rFonts w:ascii="Times New Roman" w:eastAsia="Times New Roman" w:hAnsi="Times New Roman" w:cs="Times New Roman"/>
                <w:color w:val="000000"/>
                <w:sz w:val="24"/>
                <w:szCs w:val="24"/>
                <w:lang w:eastAsia="ru-RU"/>
              </w:rPr>
            </w:pPr>
          </w:p>
        </w:tc>
      </w:tr>
    </w:tbl>
    <w:p w:rsidR="002C28CF" w:rsidRPr="00063670" w:rsidRDefault="002C28CF" w:rsidP="00063670">
      <w:pPr>
        <w:spacing w:line="240" w:lineRule="auto"/>
        <w:rPr>
          <w:rFonts w:ascii="Times New Roman" w:hAnsi="Times New Roman" w:cs="Times New Roman"/>
          <w:sz w:val="24"/>
          <w:szCs w:val="24"/>
        </w:rPr>
      </w:pPr>
    </w:p>
    <w:sectPr w:rsidR="002C28CF" w:rsidRPr="000636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abstractNum w:abstractNumId="0" w15:restartNumberingAfterBreak="0">
    <w:nsid w:val="72E34E35"/>
    <w:multiLevelType w:val="multilevel"/>
    <w:tmpl w:val="F5F8E76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70"/>
    <w:rsid w:val="00063670"/>
    <w:rsid w:val="002C2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284A89-9FB7-46B5-848E-072AA1D1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5043461">
      <w:bodyDiv w:val="1"/>
      <w:marLeft w:val="0"/>
      <w:marRight w:val="0"/>
      <w:marTop w:val="0"/>
      <w:marBottom w:val="0"/>
      <w:divBdr>
        <w:top w:val="none" w:sz="0" w:space="0" w:color="auto"/>
        <w:left w:val="none" w:sz="0" w:space="0" w:color="auto"/>
        <w:bottom w:val="none" w:sz="0" w:space="0" w:color="auto"/>
        <w:right w:val="none" w:sz="0" w:space="0" w:color="auto"/>
      </w:divBdr>
      <w:divsChild>
        <w:div w:id="1187868583">
          <w:marLeft w:val="0"/>
          <w:marRight w:val="0"/>
          <w:marTop w:val="0"/>
          <w:marBottom w:val="0"/>
          <w:divBdr>
            <w:top w:val="none" w:sz="0" w:space="0" w:color="auto"/>
            <w:left w:val="none" w:sz="0" w:space="0" w:color="auto"/>
            <w:bottom w:val="none" w:sz="0" w:space="0" w:color="auto"/>
            <w:right w:val="none" w:sz="0" w:space="0" w:color="auto"/>
          </w:divBdr>
          <w:divsChild>
            <w:div w:id="1619796096">
              <w:marLeft w:val="0"/>
              <w:marRight w:val="0"/>
              <w:marTop w:val="0"/>
              <w:marBottom w:val="0"/>
              <w:divBdr>
                <w:top w:val="none" w:sz="0" w:space="0" w:color="auto"/>
                <w:left w:val="none" w:sz="0" w:space="0" w:color="auto"/>
                <w:bottom w:val="none" w:sz="0" w:space="0" w:color="auto"/>
                <w:right w:val="none" w:sz="0" w:space="0" w:color="auto"/>
              </w:divBdr>
              <w:divsChild>
                <w:div w:id="890774866">
                  <w:marLeft w:val="0"/>
                  <w:marRight w:val="0"/>
                  <w:marTop w:val="0"/>
                  <w:marBottom w:val="0"/>
                  <w:divBdr>
                    <w:top w:val="none" w:sz="0" w:space="0" w:color="auto"/>
                    <w:left w:val="none" w:sz="0" w:space="0" w:color="auto"/>
                    <w:bottom w:val="none" w:sz="0" w:space="0" w:color="auto"/>
                    <w:right w:val="none" w:sz="0" w:space="0" w:color="auto"/>
                  </w:divBdr>
                  <w:divsChild>
                    <w:div w:id="682245269">
                      <w:marLeft w:val="0"/>
                      <w:marRight w:val="-450"/>
                      <w:marTop w:val="0"/>
                      <w:marBottom w:val="0"/>
                      <w:divBdr>
                        <w:top w:val="none" w:sz="0" w:space="0" w:color="auto"/>
                        <w:left w:val="none" w:sz="0" w:space="0" w:color="auto"/>
                        <w:bottom w:val="none" w:sz="0" w:space="0" w:color="auto"/>
                        <w:right w:val="none" w:sz="0" w:space="0" w:color="auto"/>
                      </w:divBdr>
                      <w:divsChild>
                        <w:div w:id="1706563013">
                          <w:marLeft w:val="0"/>
                          <w:marRight w:val="0"/>
                          <w:marTop w:val="0"/>
                          <w:marBottom w:val="0"/>
                          <w:divBdr>
                            <w:top w:val="none" w:sz="0" w:space="0" w:color="auto"/>
                            <w:left w:val="none" w:sz="0" w:space="0" w:color="auto"/>
                            <w:bottom w:val="none" w:sz="0" w:space="0" w:color="auto"/>
                            <w:right w:val="none" w:sz="0" w:space="0" w:color="auto"/>
                          </w:divBdr>
                          <w:divsChild>
                            <w:div w:id="17774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3027">
              <w:marLeft w:val="0"/>
              <w:marRight w:val="0"/>
              <w:marTop w:val="0"/>
              <w:marBottom w:val="0"/>
              <w:divBdr>
                <w:top w:val="none" w:sz="0" w:space="0" w:color="auto"/>
                <w:left w:val="none" w:sz="0" w:space="0" w:color="auto"/>
                <w:bottom w:val="none" w:sz="0" w:space="0" w:color="auto"/>
                <w:right w:val="none" w:sz="0" w:space="0" w:color="auto"/>
              </w:divBdr>
              <w:divsChild>
                <w:div w:id="1803225770">
                  <w:marLeft w:val="0"/>
                  <w:marRight w:val="0"/>
                  <w:marTop w:val="0"/>
                  <w:marBottom w:val="0"/>
                  <w:divBdr>
                    <w:top w:val="none" w:sz="0" w:space="0" w:color="auto"/>
                    <w:left w:val="none" w:sz="0" w:space="0" w:color="auto"/>
                    <w:bottom w:val="none" w:sz="0" w:space="0" w:color="auto"/>
                    <w:right w:val="none" w:sz="0" w:space="0" w:color="auto"/>
                  </w:divBdr>
                </w:div>
                <w:div w:id="427433045">
                  <w:marLeft w:val="0"/>
                  <w:marRight w:val="0"/>
                  <w:marTop w:val="0"/>
                  <w:marBottom w:val="0"/>
                  <w:divBdr>
                    <w:top w:val="none" w:sz="0" w:space="0" w:color="auto"/>
                    <w:left w:val="none" w:sz="0" w:space="0" w:color="auto"/>
                    <w:bottom w:val="none" w:sz="0" w:space="0" w:color="auto"/>
                    <w:right w:val="none" w:sz="0" w:space="0" w:color="auto"/>
                  </w:divBdr>
                </w:div>
                <w:div w:id="61948261">
                  <w:marLeft w:val="0"/>
                  <w:marRight w:val="0"/>
                  <w:marTop w:val="0"/>
                  <w:marBottom w:val="0"/>
                  <w:divBdr>
                    <w:top w:val="none" w:sz="0" w:space="0" w:color="auto"/>
                    <w:left w:val="none" w:sz="0" w:space="0" w:color="auto"/>
                    <w:bottom w:val="none" w:sz="0" w:space="0" w:color="auto"/>
                    <w:right w:val="none" w:sz="0" w:space="0" w:color="auto"/>
                  </w:divBdr>
                </w:div>
                <w:div w:id="1356154509">
                  <w:marLeft w:val="0"/>
                  <w:marRight w:val="0"/>
                  <w:marTop w:val="0"/>
                  <w:marBottom w:val="0"/>
                  <w:divBdr>
                    <w:top w:val="none" w:sz="0" w:space="0" w:color="auto"/>
                    <w:left w:val="none" w:sz="0" w:space="0" w:color="auto"/>
                    <w:bottom w:val="none" w:sz="0" w:space="0" w:color="auto"/>
                    <w:right w:val="none" w:sz="0" w:space="0" w:color="auto"/>
                  </w:divBdr>
                </w:div>
                <w:div w:id="1817379116">
                  <w:marLeft w:val="0"/>
                  <w:marRight w:val="0"/>
                  <w:marTop w:val="0"/>
                  <w:marBottom w:val="0"/>
                  <w:divBdr>
                    <w:top w:val="none" w:sz="0" w:space="0" w:color="auto"/>
                    <w:left w:val="none" w:sz="0" w:space="0" w:color="auto"/>
                    <w:bottom w:val="none" w:sz="0" w:space="0" w:color="auto"/>
                    <w:right w:val="none" w:sz="0" w:space="0" w:color="auto"/>
                  </w:divBdr>
                </w:div>
                <w:div w:id="2000383750">
                  <w:marLeft w:val="0"/>
                  <w:marRight w:val="0"/>
                  <w:marTop w:val="0"/>
                  <w:marBottom w:val="0"/>
                  <w:divBdr>
                    <w:top w:val="none" w:sz="0" w:space="0" w:color="auto"/>
                    <w:left w:val="none" w:sz="0" w:space="0" w:color="auto"/>
                    <w:bottom w:val="none" w:sz="0" w:space="0" w:color="auto"/>
                    <w:right w:val="none" w:sz="0" w:space="0" w:color="auto"/>
                  </w:divBdr>
                </w:div>
                <w:div w:id="14031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1043449&amp;action=statistics" TargetMode="External"/><Relationship Id="rId13" Type="http://schemas.openxmlformats.org/officeDocument/2006/relationships/hyperlink" Target="http://www.b2b-mrsk.ru/firms/ao-tiumenenergo/247/" TargetMode="External"/><Relationship Id="rId18" Type="http://schemas.openxmlformats.org/officeDocument/2006/relationships/hyperlink" Target="http://www.b2b-mrsk.ru/market/view.html?id=104344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2b-mrsk.ru/market/view.html?id=1043449&amp;action=invitations" TargetMode="External"/><Relationship Id="rId12" Type="http://schemas.openxmlformats.org/officeDocument/2006/relationships/hyperlink" Target="http://www.b2b-mrsk.ru/firms/filial-ao-tiumenenergo-nizhnevartovskie-elektricheskie-seti/102351/" TargetMode="External"/><Relationship Id="rId17" Type="http://schemas.openxmlformats.org/officeDocument/2006/relationships/hyperlink" Target="http://www.b2b-mrsk.ru/download.html?file=file%2F210004704.zip&amp;title=%D0%9F%D1%80%D0%BE%D0%B5%D0%BA%D1%82+%D0%BE%D1%81%D0%B2%D0%BE%D0%B5%D0%BD%D0%B8%D1%8F+%D0%BB%D0%B5%D1%81%D0%BE%D0%B2.zip" TargetMode="External"/><Relationship Id="rId2" Type="http://schemas.openxmlformats.org/officeDocument/2006/relationships/styles" Target="styles.xml"/><Relationship Id="rId16" Type="http://schemas.openxmlformats.org/officeDocument/2006/relationships/hyperlink" Target="http://www.b2b-mrsk.ru/download.html?file=file%2F210004703.zip&amp;title=%D0%9A%D0%94.zi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2b-mrsk.ru/market/view.html?id=1043449&amp;action=explanation" TargetMode="External"/><Relationship Id="rId11" Type="http://schemas.openxmlformats.org/officeDocument/2006/relationships/hyperlink" Target="http://www.b2b-mrsk.ru/popups/send_message.html?action=send&amp;to=125051" TargetMode="External"/><Relationship Id="rId5" Type="http://schemas.openxmlformats.org/officeDocument/2006/relationships/hyperlink" Target="http://www.b2b-mrsk.ru/market/view.html?id=1043449&amp;action=lots" TargetMode="External"/><Relationship Id="rId15" Type="http://schemas.openxmlformats.org/officeDocument/2006/relationships/image" Target="media/image1.png"/><Relationship Id="rId10" Type="http://schemas.openxmlformats.org/officeDocument/2006/relationships/hyperlink" Target="http://www.b2b-mrsk.ru/popups/send_message.html?action=send&amp;to=121904" TargetMode="External"/><Relationship Id="rId19" Type="http://schemas.openxmlformats.org/officeDocument/2006/relationships/hyperlink" Target="http://www.b2b-mrsk.ru/market/view.html?id=1043449&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market/view.html?id=1043456" TargetMode="External"/><Relationship Id="rId14" Type="http://schemas.openxmlformats.org/officeDocument/2006/relationships/hyperlink" Target="mailto:tuniekova-oyu%40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2841</Words>
  <Characters>16196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2018-06-21T07:34:00Z</dcterms:created>
  <dcterms:modified xsi:type="dcterms:W3CDTF">2018-06-21T07:35:00Z</dcterms:modified>
</cp:coreProperties>
</file>