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9E1" w:rsidRPr="003C59E1" w:rsidRDefault="003C59E1" w:rsidP="003C59E1">
      <w:pPr>
        <w:spacing w:after="144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3C59E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Конкурс (тендер) № 50512</w:t>
      </w:r>
      <w:r w:rsidRPr="003C59E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br/>
        <w:t xml:space="preserve">Открытый одноэтапный конкурс без предварительного отбора на право заключения Договора на выполнение работ по замене опор на ВЛ-110кВ </w:t>
      </w:r>
      <w:proofErr w:type="spellStart"/>
      <w:r w:rsidRPr="003C59E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Атымья</w:t>
      </w:r>
      <w:proofErr w:type="spellEnd"/>
      <w:r w:rsidRPr="003C59E1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-Картопья 2 филиала АО "Тюменьэнерго" Урайские ЭС </w:t>
      </w:r>
      <w:r w:rsidRPr="003C59E1">
        <w:rPr>
          <w:rFonts w:ascii="Arial" w:eastAsia="Times New Roman" w:hAnsi="Arial" w:cs="Arial"/>
          <w:b/>
          <w:bCs/>
          <w:color w:val="A0A0A0"/>
          <w:sz w:val="20"/>
          <w:szCs w:val="20"/>
          <w:lang w:eastAsia="ru-RU"/>
        </w:rPr>
        <w:t>(вскрытие конвертов 18.10.2016 в 09:00)</w:t>
      </w:r>
    </w:p>
    <w:p w:rsidR="003C59E1" w:rsidRPr="003C59E1" w:rsidRDefault="003C59E1" w:rsidP="003C59E1">
      <w:pPr>
        <w:shd w:val="clear" w:color="auto" w:fill="F6F6DA"/>
        <w:spacing w:before="171" w:after="171" w:line="343" w:lineRule="atLeast"/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</w:pPr>
      <w:r w:rsidRPr="003C59E1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t xml:space="preserve">Конкурс успешно объявлен! </w:t>
      </w:r>
      <w:r w:rsidRPr="003C59E1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br/>
      </w:r>
      <w:r w:rsidRPr="003C59E1">
        <w:rPr>
          <w:rFonts w:ascii="Arial" w:eastAsia="Times New Roman" w:hAnsi="Arial" w:cs="Arial"/>
          <w:color w:val="E4002B"/>
          <w:sz w:val="20"/>
          <w:szCs w:val="20"/>
          <w:shd w:val="clear" w:color="auto" w:fill="F6F6DA"/>
          <w:lang w:eastAsia="ru-RU"/>
        </w:rPr>
        <w:br/>
      </w:r>
      <w:hyperlink r:id="rId5" w:history="1">
        <w:r w:rsidRPr="003C59E1">
          <w:rPr>
            <w:rFonts w:ascii="Times New Roman" w:eastAsia="Times New Roman" w:hAnsi="Times New Roman" w:cs="Times New Roman"/>
            <w:color w:val="2283C3"/>
            <w:sz w:val="20"/>
            <w:szCs w:val="20"/>
            <w:shd w:val="clear" w:color="auto" w:fill="F6F6DA"/>
            <w:lang w:eastAsia="ru-RU"/>
          </w:rPr>
          <w:t>По вашей тематике найдено 1964 инновации</w:t>
        </w:r>
      </w:hyperlink>
    </w:p>
    <w:p w:rsidR="003C59E1" w:rsidRPr="003C59E1" w:rsidRDefault="003C59E1" w:rsidP="003C59E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3C59E1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Извещение</w:t>
      </w:r>
    </w:p>
    <w:p w:rsidR="003C59E1" w:rsidRPr="003C59E1" w:rsidRDefault="003C59E1" w:rsidP="003C59E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6" w:history="1">
        <w:r w:rsidRPr="003C59E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Лоты - 1</w:t>
        </w:r>
      </w:hyperlink>
    </w:p>
    <w:p w:rsidR="003C59E1" w:rsidRPr="003C59E1" w:rsidRDefault="003C59E1" w:rsidP="003C59E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7" w:history="1">
        <w:r w:rsidRPr="003C59E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Разъяснения - 0</w:t>
        </w:r>
      </w:hyperlink>
    </w:p>
    <w:p w:rsidR="003C59E1" w:rsidRPr="003C59E1" w:rsidRDefault="003C59E1" w:rsidP="003C59E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8" w:history="1">
        <w:r w:rsidRPr="003C59E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Приглашения к участию - 0</w:t>
        </w:r>
      </w:hyperlink>
    </w:p>
    <w:p w:rsidR="003C59E1" w:rsidRPr="003C59E1" w:rsidRDefault="003C59E1" w:rsidP="003C59E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9" w:history="1">
        <w:r w:rsidRPr="003C59E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Претенденты - 0</w:t>
        </w:r>
      </w:hyperlink>
    </w:p>
    <w:p w:rsidR="003C59E1" w:rsidRPr="003C59E1" w:rsidRDefault="003C59E1" w:rsidP="003C59E1">
      <w:pPr>
        <w:numPr>
          <w:ilvl w:val="0"/>
          <w:numId w:val="1"/>
        </w:numPr>
        <w:pBdr>
          <w:bottom w:val="single" w:sz="12" w:space="4" w:color="F2F0EB"/>
        </w:pBdr>
        <w:spacing w:after="257" w:line="343" w:lineRule="atLeast"/>
        <w:ind w:left="0" w:right="171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hyperlink r:id="rId10" w:history="1">
        <w:r w:rsidRPr="003C59E1">
          <w:rPr>
            <w:rFonts w:ascii="Times New Roman" w:eastAsia="Times New Roman" w:hAnsi="Times New Roman" w:cs="Times New Roman"/>
            <w:color w:val="2283C3"/>
            <w:sz w:val="20"/>
            <w:szCs w:val="20"/>
            <w:lang w:eastAsia="ru-RU"/>
          </w:rPr>
          <w:t>Статистика посещений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C59E1" w:rsidRPr="003C59E1" w:rsidTr="003C59E1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C59E1" w:rsidRPr="003C59E1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C59E1" w:rsidRPr="003C59E1" w:rsidRDefault="003C59E1" w:rsidP="003C59E1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</w:pPr>
                  <w:hyperlink r:id="rId11" w:history="1">
                    <w:r w:rsidRPr="003C59E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0"/>
                        <w:szCs w:val="20"/>
                        <w:bdr w:val="none" w:sz="0" w:space="0" w:color="auto" w:frame="1"/>
                        <w:lang w:eastAsia="ru-RU"/>
                      </w:rPr>
                      <w:t>Филиал акционерного общества энергетики и электрификации "Тюменьэнерго" Урайские электрические сети</w:t>
                    </w:r>
                  </w:hyperlink>
                  <w:r w:rsidRPr="003C59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 xml:space="preserve">, 628285, Ханты-Мансийский Автономный округ - Югра, г. Урай, мкр. Электросети, </w:t>
                  </w:r>
                  <w:r w:rsidRPr="003C59E1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0"/>
                      <w:szCs w:val="20"/>
                      <w:lang w:eastAsia="ru-RU"/>
                    </w:rPr>
                    <w:t>приглашает принять участие в процедуре (тендере)</w:t>
                  </w:r>
                  <w:r w:rsidRPr="003C59E1"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  <w:lang w:eastAsia="ru-RU"/>
                    </w:rPr>
                    <w:t>.</w:t>
                  </w:r>
                </w:p>
              </w:tc>
            </w:tr>
            <w:tr w:rsidR="003C59E1" w:rsidRPr="003C59E1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5"/>
                    <w:gridCol w:w="6502"/>
                  </w:tblGrid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outlineLvl w:val="0"/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замене опор на ВЛ-110кВ </w:t>
                        </w:r>
                        <w:proofErr w:type="spellStart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Атымья</w:t>
                        </w:r>
                        <w:proofErr w:type="spellEnd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kern w:val="36"/>
                            <w:sz w:val="20"/>
                            <w:szCs w:val="20"/>
                            <w:lang w:eastAsia="ru-RU"/>
                          </w:rPr>
                          <w:t>-Картопья 2 филиала АО "Тюменьэнерго" Урайские ЭС</w:t>
                        </w:r>
                      </w:p>
                      <w:p w:rsidR="003C59E1" w:rsidRPr="003C59E1" w:rsidRDefault="003C59E1" w:rsidP="003C59E1">
                        <w:pPr>
                          <w:spacing w:after="0" w:line="343" w:lineRule="atLeast"/>
                          <w:outlineLvl w:val="1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 № 1.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Выполнение работ по замене опор на ВЛ-110кВ </w:t>
                        </w:r>
                        <w:proofErr w:type="spellStart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Атымья</w:t>
                        </w:r>
                        <w:proofErr w:type="spellEnd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-Картопья 2 филиала АО "Тюменьэнерго" Урайские ЭС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4521125 </w:t>
                        </w:r>
                        <w:hyperlink r:id="rId12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Линия электропередачи воздушная</w:t>
                          </w:r>
                        </w:hyperlink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28.09.2016 07:27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01.03.2017 - 15.04.2017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3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, тел.+7 (34676) 5-32-60, </w:t>
                        </w:r>
                        <w:hyperlink r:id="rId15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OkuntsevES@yec.te.ru</w:t>
                          </w:r>
                        </w:hyperlink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Назначена приказом АО "Тюменьэнерго"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заявки на участие в закупке в размере 2% начальной цены лота.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Требование к обеспечению исполнения договора Размер обеспечения исполнения договора 2% от начальной цены лота. 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Форма обеспечения: Обеспечение предоставляется Участником закупки по его выбору путем внесения денежных средств (обеспечительный платеж) на счет, указанный в документации о закупке либо путем предоставления безотзывной безусловной банковской гарантии. Требования к банковской гарантии установлены в документации о закупке и/или проекте договора. 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исполнения договора должно быть предоставлено Заказчику до даты заключения договора.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Работы/услуги/поставки, выполняемые субподрядчиками/ соисполнителями/ субпоставщиками не должны превышать 50% от общего объема работ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 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кадровыми ресурсами: в соответствии с требованиями приложения № 1 к техническому заданию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Участник/ член коллективного Участника, субподрядчик (соисполнитель/субпоставщик) должен обладать необходимыми основными машинами и механизмами: в соответствии с требованиями приложения № 1 к техническому заданию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Техническое и коммерческое предложения должны соответствовать требованиям Заказчика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Персонал Участника/ член коллективного Участника, субподрядчик (соисполнитель/субпоставщик) должен быть обучен по безопасности труда, пройти проверку знаний общих требований промышленной безопасности, иметь группу по электробезопасности и средства индивидуальной защиты для выполнения работ по договору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Службой экономической безопасности АО «Тюменьэнерго»;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д) Участник не должен иметь задолженность по уплате налогов, согласно справке, об отсутствии задолженности по уплате налогов, сборов, страховых взносов, пеней и налоговых санкций в соответствии с действующим законодательством Российской Федерации;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недобросовестных поставщиков на электронном портале http://rnp.fas.gov.ru/;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едином федеральном реестре о банкротствах http://rosreestr.ru/;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«Россети», ДЗО (ВЗО) ПАО «Россети», а также родственниками работников ПАО «Россети», ДЗО (ВЗО) ПАО «Россети»;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л) отсутствие у АО "Тюменьэнерго" информации о наличии за последние 24 месяца, предшествующих дате вскрытия конвертов,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о) отсутствие за последние 36 месяцев, предшествующих дате вскрытия конвертов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"Тюменьэнерго", от исполнения заключенного(</w:t>
                        </w:r>
                        <w:proofErr w:type="spellStart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ых</w:t>
                        </w:r>
                        <w:proofErr w:type="spellEnd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 с АО "Тюменьэнерго" аналогичных предмету закупки договора (</w:t>
                        </w:r>
                        <w:proofErr w:type="spellStart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ов</w:t>
                        </w:r>
                        <w:proofErr w:type="spellEnd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)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р) отсутствие двух и более отрицательных заключений СЭБ АО «Тюменьэнерго», вынесенных в течение 12 календарных месяцев, предшествующих дате вскрытия конвертов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"Тюменьэнерго".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"Тюменьэнерго" (СЭБ АО "Тюменьэнерго").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Конкурсную документацию Участники могут получить на Официальном сайте РФ – www.zakupki.gov.ru, электронно- торговой площадке - http://www.b2b-MRSK.ru/, а также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6" w:tgtFrame="_blank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3C59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04 Документация по замене опор 13 (СМСП) (+).7z</w:t>
                          </w:r>
                        </w:hyperlink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 (14.1 МБ)</w:t>
                        </w:r>
                      </w:p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7" w:history="1">
                          <w:r w:rsidRPr="003C59E1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18" w:tgtFrame="signature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Обеспечение заявки на участие в закупке в размере 2% начальной цены лота.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гарантии, оформленной и предоставленной в соответствии с требованиями документации.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3C59E1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0"/>
                            <w:szCs w:val="20"/>
                            <w:lang w:eastAsia="ru-RU"/>
                          </w:rPr>
                          <w:t>18.10.2016 в 09:00 по московскому времени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07.11.2016 14:00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17.11.2016 14:00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628285, Россия, г. Урай, Тюменская область, ХМАО-Югра, мкр. Электросети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ранжировке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между Заказчиком и Победителем заключается в срок не ранее чем через десять календарных дней, но не более двадцати рабочих дней со дня принятия Заказчиком решения о заключении договора (со дня подписания протокола о подведении итогов закупочной процедуры), за исключением случаев,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органом управления Заказчика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Лот № 1. 13 367 137,83 руб. (цена с НДС)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3C59E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73EBA47C" wp14:editId="6A82BB17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3C59E1"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0"/>
                            <w:szCs w:val="20"/>
                            <w:lang w:eastAsia="ru-RU"/>
                          </w:rPr>
                          <w:drawing>
                            <wp:inline distT="0" distB="0" distL="0" distR="0" wp14:anchorId="32121D7D" wp14:editId="48D5B4F1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9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0" w:history="1">
                          <w:r w:rsidRPr="003C59E1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Заказчик может изменить сроки подведения этапов «рассмотрения предложений участников» и «подведения итогов закупочной процедуры».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628285, Ханты-Мансийский Автономный округ - Югра, г. Урай, мкр. Электросети</w:t>
                          </w:r>
                        </w:hyperlink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Программа закупок: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1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Заявка № 4655545</w:t>
                          </w:r>
                        </w:hyperlink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204"/>
                          <w:gridCol w:w="3208"/>
                        </w:tblGrid>
                        <w:tr w:rsidR="003C59E1" w:rsidRPr="003C59E1" w:rsidTr="003C59E1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C59E1" w:rsidRPr="003C59E1" w:rsidRDefault="003C59E1" w:rsidP="003C59E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C59E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3C59E1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367CF"/>
                                    <w:sz w:val="20"/>
                                    <w:szCs w:val="20"/>
                                    <w:bdr w:val="none" w:sz="0" w:space="0" w:color="auto" w:frame="1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3C59E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3C59E1" w:rsidRPr="003C59E1" w:rsidRDefault="003C59E1" w:rsidP="003C59E1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C59E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Процедура еще не была выгружена.</w:t>
                              </w:r>
                              <w:r w:rsidRPr="003C59E1"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br/>
                              </w:r>
                              <w:r w:rsidRPr="003C59E1">
                                <w:rPr>
                                  <w:rFonts w:ascii="Arial" w:eastAsia="Times New Roman" w:hAnsi="Arial" w:cs="Arial"/>
                                  <w:color w:val="CC9300"/>
                                  <w:sz w:val="20"/>
                                  <w:szCs w:val="20"/>
                                  <w:lang w:eastAsia="ru-RU"/>
                                </w:rPr>
                                <w:t>Ожидает выгрузки в очереди.</w:t>
                              </w: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3C59E1" w:rsidRPr="003C59E1" w:rsidRDefault="003C59E1" w:rsidP="003C59E1">
                              <w:pPr>
                                <w:spacing w:after="0" w:line="343" w:lineRule="atLeast"/>
                                <w:rPr>
                                  <w:rFonts w:ascii="Arial" w:eastAsia="Times New Roman" w:hAnsi="Arial" w:cs="Arial"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C59E1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20"/>
                                  <w:szCs w:val="20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3C59E1" w:rsidRPr="003C59E1" w:rsidRDefault="003C59E1" w:rsidP="003C59E1">
                              <w:pPr>
                                <w:spacing w:before="171" w:after="171" w:line="343" w:lineRule="atLeast"/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0"/>
                                  <w:lang w:eastAsia="ru-RU"/>
                                </w:rPr>
                              </w:pPr>
                              <w:r w:rsidRPr="003C59E1">
                                <w:rPr>
                                  <w:rFonts w:ascii="Arial" w:eastAsia="Times New Roman" w:hAnsi="Arial" w:cs="Arial"/>
                                  <w:color w:val="818181"/>
                                  <w:sz w:val="20"/>
                                  <w:szCs w:val="20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 xml:space="preserve">28.09.2016 06:50, </w:t>
                        </w:r>
                        <w:hyperlink r:id="rId23" w:tgtFrame="_blank" w:tooltip="Отправить личное сообщение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Окунцев Евгений Сергеевич</w:t>
                          </w:r>
                        </w:hyperlink>
                      </w:p>
                    </w:tc>
                  </w:tr>
                  <w:tr w:rsidR="003C59E1" w:rsidRPr="003C59E1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r w:rsidRPr="003C59E1"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3C59E1" w:rsidRPr="003C59E1" w:rsidRDefault="003C59E1" w:rsidP="003C59E1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0"/>
                            <w:szCs w:val="20"/>
                            <w:lang w:eastAsia="ru-RU"/>
                          </w:rPr>
                        </w:pPr>
                        <w:hyperlink r:id="rId24" w:tgtFrame="signature" w:history="1">
                          <w:r w:rsidRPr="003C59E1">
                            <w:rPr>
                              <w:rFonts w:ascii="Arial" w:eastAsia="Times New Roman" w:hAnsi="Arial" w:cs="Arial"/>
                              <w:color w:val="1367CF"/>
                              <w:sz w:val="20"/>
                              <w:szCs w:val="20"/>
                              <w:bdr w:val="none" w:sz="0" w:space="0" w:color="auto" w:frame="1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C59E1" w:rsidRPr="003C59E1" w:rsidRDefault="003C59E1" w:rsidP="003C59E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C59E1" w:rsidRPr="003C59E1" w:rsidRDefault="003C59E1" w:rsidP="003C59E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D1412" w:rsidRPr="003C59E1" w:rsidRDefault="006D1412">
      <w:pPr>
        <w:rPr>
          <w:sz w:val="20"/>
          <w:szCs w:val="20"/>
        </w:rPr>
      </w:pPr>
      <w:bookmarkStart w:id="0" w:name="_GoBack"/>
      <w:bookmarkEnd w:id="0"/>
    </w:p>
    <w:sectPr w:rsidR="006D1412" w:rsidRPr="003C59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2F03A3"/>
    <w:multiLevelType w:val="multilevel"/>
    <w:tmpl w:val="6C2C2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50F"/>
    <w:rsid w:val="003C59E1"/>
    <w:rsid w:val="0061050F"/>
    <w:rsid w:val="006D1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6C086-C21F-4F44-850A-415798136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903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4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35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714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8497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82145">
                          <w:marLeft w:val="0"/>
                          <w:marRight w:val="-4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45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070658">
                                  <w:marLeft w:val="0"/>
                                  <w:marRight w:val="0"/>
                                  <w:marTop w:val="0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5784217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484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28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75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4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9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26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50512&amp;action=invitations" TargetMode="External"/><Relationship Id="rId13" Type="http://schemas.openxmlformats.org/officeDocument/2006/relationships/hyperlink" Target="http://www.b2b-mrsk.ru/firms/ao-tiumenenergo/247/" TargetMode="External"/><Relationship Id="rId18" Type="http://schemas.openxmlformats.org/officeDocument/2006/relationships/hyperlink" Target="http://www.b2b-mrsk.ru/market/view_tender.html?id=50512&amp;action=signed_doc&amp;key=docs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b2b-mrsk.ru/summaries/view_gkpz.html?id=4655545" TargetMode="External"/><Relationship Id="rId7" Type="http://schemas.openxmlformats.org/officeDocument/2006/relationships/hyperlink" Target="http://www.b2b-mrsk.ru/market/view_tender.html?id=50512&amp;action=explanation" TargetMode="External"/><Relationship Id="rId12" Type="http://schemas.openxmlformats.org/officeDocument/2006/relationships/hyperlink" Target="http://www.b2b-mrsk.ru/market/list_tenders.html?all=0&amp;cat_id=64521125&amp;open=1" TargetMode="External"/><Relationship Id="rId17" Type="http://schemas.openxmlformats.org/officeDocument/2006/relationships/hyperlink" Target="http://www.b2b-mrsk.ru/market/edit_tender.html?id=50512&amp;action=docs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b2b-mrsk.ru/download.html?file=file%2F97716058.7z&amp;title=04+%D0%94%D0%BE%D0%BA%D1%83%D0%BC%D0%B5%D0%BD%D1%82%D0%B0%D1%86%D0%B8%D1%8F+%D0%BF%D0%BE+%D0%B7%D0%B0%D0%BC%D0%B5%D0%BD%D0%B5+%D0%BE%D0%BF%D0%BE%D1%80+13+%28%D0%A1%D0%9C%D0%A1%D0%9F%29+%28%2B%29.7z" TargetMode="External"/><Relationship Id="rId20" Type="http://schemas.openxmlformats.org/officeDocument/2006/relationships/hyperlink" Target="https://www.b2b-center.ru/personal/payment_docs.html?type=guarantee_doc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_tender.html?id=50512&amp;show=lots" TargetMode="External"/><Relationship Id="rId11" Type="http://schemas.openxmlformats.org/officeDocument/2006/relationships/hyperlink" Target="http://www.b2b-mrsk.ru/firms/filial-aktsionernogo-obshchestva-energetiki-i-elektrifikatsii-tiumenenergo-uraiskie-elektricheskie-seti/102372/" TargetMode="External"/><Relationship Id="rId24" Type="http://schemas.openxmlformats.org/officeDocument/2006/relationships/hyperlink" Target="http://www.b2b-mrsk.ru/market/view_tender.html?id=50512&amp;action=signed_doc&amp;key=tender" TargetMode="External"/><Relationship Id="rId5" Type="http://schemas.openxmlformats.org/officeDocument/2006/relationships/hyperlink" Target="http://www.b2b-mrsk.ru/innovations/index.html" TargetMode="External"/><Relationship Id="rId15" Type="http://schemas.openxmlformats.org/officeDocument/2006/relationships/hyperlink" Target="mailto:OkuntsevES@yec.te.ru" TargetMode="External"/><Relationship Id="rId23" Type="http://schemas.openxmlformats.org/officeDocument/2006/relationships/hyperlink" Target="http://www.b2b-mrsk.ru/popups/send_message.html?action=send&amp;to=121926" TargetMode="External"/><Relationship Id="rId10" Type="http://schemas.openxmlformats.org/officeDocument/2006/relationships/hyperlink" Target="http://www.b2b-mrsk.ru/market/view_tender.html?id=50512&amp;show=statistics" TargetMode="External"/><Relationship Id="rId19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edit_tender.html?id=50512&amp;action=send_letters" TargetMode="External"/><Relationship Id="rId14" Type="http://schemas.openxmlformats.org/officeDocument/2006/relationships/hyperlink" Target="http://www.b2b-mrsk.ru/popups/send_message.html?action=send&amp;to=121926&amp;subject=%D0%92%D0%BE%D0%BF%D1%80%D0%BE%D1%81+%D0%BF%D0%BE+%D0%BA%D0%BE%D0%BD%D0%BA%D1%83%D1%80%D1%81%D1%83+%E2%84%96+50512" TargetMode="External"/><Relationship Id="rId22" Type="http://schemas.openxmlformats.org/officeDocument/2006/relationships/hyperlink" Target="http://www.b2b-mrsk.ru/market/view_tender.html?id=50512&amp;zgr=get_x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2614</Words>
  <Characters>14904</Characters>
  <Application>Microsoft Office Word</Application>
  <DocSecurity>0</DocSecurity>
  <Lines>124</Lines>
  <Paragraphs>34</Paragraphs>
  <ScaleCrop>false</ScaleCrop>
  <Company>ОАО "Тюменьэнерго"</Company>
  <LinksUpToDate>false</LinksUpToDate>
  <CharactersWithSpaces>17484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ОЛиМТО_ГЗ: Окунцев_ЕС</dc:creator>
  <cp:keywords/>
  <dc:description/>
  <cp:lastModifiedBy>ОЛиМТО_ГЗ: Окунцев_ЕС</cp:lastModifiedBy>
  <cp:revision>2</cp:revision>
  <dcterms:created xsi:type="dcterms:W3CDTF">2016-09-28T04:27:00Z</dcterms:created>
  <dcterms:modified xsi:type="dcterms:W3CDTF">2016-09-28T04:29:00Z</dcterms:modified>
</cp:coreProperties>
</file>