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D3" w:rsidRPr="001774A1" w:rsidRDefault="000807C4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</w:t>
      </w:r>
      <w:r w:rsidR="00704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4051C7" w:rsidRPr="00405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31502843436 (1126)</w:t>
      </w:r>
      <w:r w:rsidR="004051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-2/2</w:t>
      </w:r>
    </w:p>
    <w:p w:rsidR="00573A94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рассмотрения предложений на запросе предложений (объявлении о покупке)  </w:t>
      </w:r>
    </w:p>
    <w:p w:rsidR="00C263B4" w:rsidRDefault="00C263B4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58D3" w:rsidRDefault="004051C7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09</w:t>
      </w:r>
      <w:r w:rsidR="00736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</w:t>
      </w:r>
      <w:r w:rsidR="006058D3" w:rsidRPr="00573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.2015</w:t>
      </w:r>
    </w:p>
    <w:p w:rsidR="006058D3" w:rsidRPr="001774A1" w:rsidRDefault="006058D3" w:rsidP="00C263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</w:p>
    <w:p w:rsidR="004051C7" w:rsidRPr="004051C7" w:rsidRDefault="004051C7" w:rsidP="004051C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на право заключения договора на поставку химических реактивов для нужд филиала АО "</w:t>
      </w:r>
      <w:proofErr w:type="spellStart"/>
      <w:r w:rsidRPr="004051C7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051C7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6058D3" w:rsidRDefault="006058D3" w:rsidP="00C26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Сев</w:t>
      </w:r>
      <w:r w:rsid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еро-Восточная </w:t>
      </w:r>
      <w:proofErr w:type="spellStart"/>
      <w:r w:rsid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4BE8" w:rsidRPr="001774A1" w:rsidRDefault="00074BE8" w:rsidP="00C26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D3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proofErr w:type="gramStart"/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0807C4" w:rsidRPr="001774A1" w:rsidRDefault="000807C4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3B4" w:rsidRDefault="00C263B4" w:rsidP="00C263B4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КОМИССИЯ В СОСТАВЕ:</w:t>
      </w:r>
    </w:p>
    <w:p w:rsidR="000A41D7" w:rsidRPr="00C263B4" w:rsidRDefault="000A41D7" w:rsidP="000A41D7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1D7" w:rsidRPr="00C263B4" w:rsidRDefault="004051C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</w:t>
      </w:r>
      <w:r w:rsidR="000A41D7"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Конкурсной (Закупочной) комиссии:    </w:t>
      </w:r>
    </w:p>
    <w:p w:rsidR="000A41D7" w:rsidRDefault="004051C7" w:rsidP="000A4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gramStart"/>
      <w:r w:rsidR="000A41D7"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0A41D7"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</w:t>
      </w:r>
      <w:r w:rsidR="000A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0A41D7"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0A41D7"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A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1D7"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A41D7"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Домашний</w:t>
      </w:r>
    </w:p>
    <w:p w:rsidR="000A41D7" w:rsidRPr="00C263B4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 Конкурсной (Закупочной) комиссии:</w:t>
      </w:r>
    </w:p>
    <w:p w:rsidR="000A41D7" w:rsidRDefault="000A41D7" w:rsidP="000A4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СЭБ АО «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Ю.А. Чернявский</w:t>
      </w:r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Члены Конкурсной (Закупочной) комиссии: </w:t>
      </w:r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начальника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Е.А. Ванина</w:t>
      </w:r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развитию </w:t>
      </w:r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реализации услуг Северных ЭС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П.В. Пивоваров</w:t>
      </w:r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– Начальник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ОБНУиО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С.В. Гейгер</w:t>
      </w:r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юрисконсульт Северных ЭС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В.А. Марченко</w:t>
      </w:r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ПТС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Г.К.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М.В.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</w:p>
    <w:p w:rsidR="000A41D7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группы безопасности Северных ЭС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В.А. Осипов</w:t>
      </w:r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 Конкурсной (Закупочной) комиссии:</w:t>
      </w:r>
    </w:p>
    <w:p w:rsidR="000A41D7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С.С.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1D7" w:rsidRPr="00C263B4" w:rsidRDefault="000A41D7" w:rsidP="000A41D7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</w:p>
    <w:p w:rsidR="000A41D7" w:rsidRPr="00C263B4" w:rsidRDefault="000A41D7" w:rsidP="000A41D7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Секретаря Конкурсной (Закупочной) комиссии:</w:t>
      </w:r>
    </w:p>
    <w:p w:rsidR="000A41D7" w:rsidRPr="00C263B4" w:rsidRDefault="000A41D7" w:rsidP="000A41D7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Инженера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С.С. </w:t>
      </w:r>
      <w:proofErr w:type="spell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</w:p>
    <w:p w:rsidR="00C263B4" w:rsidRPr="00C263B4" w:rsidRDefault="00C263B4" w:rsidP="00C263B4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D3" w:rsidRPr="00573A94" w:rsidRDefault="006058D3" w:rsidP="00C263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58D3" w:rsidRPr="001774A1" w:rsidRDefault="006058D3" w:rsidP="00605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</w:p>
    <w:p w:rsidR="00A35EF8" w:rsidRDefault="00A35EF8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9113"/>
      </w:tblGrid>
      <w:tr w:rsidR="004051C7" w:rsidRPr="00317194" w:rsidTr="003353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51C7" w:rsidRPr="00317194" w:rsidRDefault="004051C7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51C7" w:rsidRPr="00317194" w:rsidRDefault="004051C7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</w:tr>
      <w:tr w:rsidR="004051C7" w:rsidRPr="00317194" w:rsidTr="003353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51C7" w:rsidRPr="00397BD8" w:rsidRDefault="004051C7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51C7" w:rsidRPr="00397BD8" w:rsidRDefault="004051C7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«</w:t>
            </w:r>
            <w:proofErr w:type="spellStart"/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Химреактивснаб</w:t>
            </w:r>
            <w:proofErr w:type="spellEnd"/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450006,РФ, РБ, г. Уфа, ул. Пархоменко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156/2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051C7" w:rsidRPr="00317194" w:rsidTr="003353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51C7" w:rsidRPr="00397BD8" w:rsidRDefault="004051C7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51C7" w:rsidRPr="00397BD8" w:rsidRDefault="004051C7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«Уфимская Химическая Компания»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450027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РФ, РБ, г. Уфа,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ул. </w:t>
              </w:r>
              <w:r w:rsidRPr="000C5E4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Трамвайная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Pr="000C5E4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2\4</w:t>
              </w:r>
            </w:hyperlink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051C7" w:rsidRPr="00397BD8" w:rsidTr="003353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51C7" w:rsidRPr="00397BD8" w:rsidRDefault="004051C7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51C7" w:rsidRPr="00397BD8" w:rsidRDefault="004051C7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ограниченной ответственностью «Торговый дом «Крезол»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450098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РФ, Республика Башкортостан, г. Уфа,</w:t>
              </w:r>
              <w:r w:rsidRPr="00397BD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ул. Российская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д.157/1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4051C7" w:rsidRPr="00397BD8" w:rsidTr="0033539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51C7" w:rsidRPr="00397BD8" w:rsidRDefault="004051C7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051C7" w:rsidRPr="00397BD8" w:rsidRDefault="004051C7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зводственно-коммерческая фирма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УралРеаХим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614033, г. Пермь, ул. Куйбышева д. 118, оф. 315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6058D3" w:rsidRPr="001774A1" w:rsidRDefault="006058D3" w:rsidP="00A35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851" w:rsidRDefault="00143851" w:rsidP="00143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3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Решение о допуске заявок участников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открытого запроса предложений</w:t>
      </w:r>
      <w:r w:rsidRPr="001438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(объявления о покупке) к итоговой оценке заявок</w:t>
      </w:r>
    </w:p>
    <w:p w:rsidR="00074BE8" w:rsidRPr="00143851" w:rsidRDefault="00074BE8" w:rsidP="001438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3851" w:rsidRPr="002815E6" w:rsidRDefault="00143851" w:rsidP="0014385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Комиссия, руководствуясь требованиями Документации, регламентирующей порядок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запроса предложений</w:t>
      </w: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(объявления о покупке), провела рассмотрение заявок, представленных 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открытом запросе предложений</w:t>
      </w: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(объявлении о покупке).</w:t>
      </w:r>
    </w:p>
    <w:p w:rsidR="00143851" w:rsidRPr="002815E6" w:rsidRDefault="00143851" w:rsidP="001438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рассмотрения и изучения заявок 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открытом запросе предложений</w:t>
      </w:r>
      <w:r w:rsidRPr="0028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(объявлении о покупке) и документов к ним, комиссия приняла решение:</w:t>
      </w:r>
    </w:p>
    <w:p w:rsidR="00143851" w:rsidRPr="002815E6" w:rsidRDefault="00143851" w:rsidP="001438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851" w:rsidRDefault="00143851" w:rsidP="001438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Не допус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тить к итоговой оценке следующую заявку участника</w:t>
      </w: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открытого запроса предложений</w:t>
      </w: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(объявления о покупке),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подавшего заявку</w:t>
      </w: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участие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открытом запросе предложений</w:t>
      </w:r>
      <w:r w:rsidRPr="002815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(объявлении о покупке):</w:t>
      </w:r>
    </w:p>
    <w:p w:rsidR="00074BE8" w:rsidRPr="002815E6" w:rsidRDefault="00074BE8" w:rsidP="001438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6356"/>
      </w:tblGrid>
      <w:tr w:rsidR="00143851" w:rsidRPr="002815E6" w:rsidTr="00143851">
        <w:trPr>
          <w:trHeight w:val="407"/>
          <w:tblHeader/>
        </w:trPr>
        <w:tc>
          <w:tcPr>
            <w:tcW w:w="3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51" w:rsidRPr="002815E6" w:rsidRDefault="00143851" w:rsidP="0014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участника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открытого запроса предложений</w:t>
            </w:r>
            <w:r w:rsidRPr="00281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(объявления о покупке)</w:t>
            </w:r>
          </w:p>
        </w:tc>
        <w:tc>
          <w:tcPr>
            <w:tcW w:w="6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51" w:rsidRPr="002815E6" w:rsidRDefault="00143851" w:rsidP="00E54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1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143851" w:rsidRPr="002815E6" w:rsidTr="00143851">
        <w:tc>
          <w:tcPr>
            <w:tcW w:w="314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851" w:rsidRPr="002815E6" w:rsidRDefault="004051C7" w:rsidP="00E54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«</w:t>
            </w:r>
            <w:proofErr w:type="spellStart"/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Химреактивснаб</w:t>
            </w:r>
            <w:proofErr w:type="spellEnd"/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99F" w:rsidRDefault="008C57F7" w:rsidP="00B269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Отклонить Заявку </w:t>
            </w:r>
            <w:r w:rsidR="0040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51C7"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051C7"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Химреактивснаб</w:t>
            </w:r>
            <w:proofErr w:type="spellEnd"/>
            <w:r w:rsidR="004051C7"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п. 3.9.2.6 б) Конкурсной (закупочной) документации, а именно: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Получено отрицательное заключение службы экономической безопасности АО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(СЭБ АО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с</w:t>
            </w:r>
            <w:r w:rsidR="00E455FC">
              <w:rPr>
                <w:rFonts w:ascii="Times New Roman" w:hAnsi="Times New Roman" w:cs="Times New Roman"/>
                <w:b/>
                <w:sz w:val="24"/>
                <w:szCs w:val="24"/>
              </w:rPr>
              <w:t>оответствует требованиям пунктов: 29.5.1, 29.5.3, 29.6.19 и 29.6.20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информационной карты Конкур</w:t>
            </w:r>
            <w:r w:rsidR="00B2699F">
              <w:rPr>
                <w:rFonts w:ascii="Times New Roman" w:hAnsi="Times New Roman" w:cs="Times New Roman"/>
                <w:b/>
                <w:sz w:val="24"/>
                <w:szCs w:val="24"/>
              </w:rPr>
              <w:t>сной (закупочной) документации;</w:t>
            </w:r>
          </w:p>
          <w:p w:rsidR="00143851" w:rsidRPr="00B2699F" w:rsidRDefault="00B2699F" w:rsidP="00B2699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2699F">
              <w:rPr>
                <w:rFonts w:ascii="Times New Roman" w:hAnsi="Times New Roman" w:cs="Times New Roman"/>
                <w:sz w:val="24"/>
                <w:szCs w:val="24"/>
              </w:rPr>
              <w:t>Не представлена декларация о соответствии Участника закупки критериям отнесения к субъектам малого и среднего предпринимательства (форма 6);</w:t>
            </w:r>
          </w:p>
          <w:p w:rsidR="00B2699F" w:rsidRPr="00B2699F" w:rsidRDefault="00B2699F" w:rsidP="00B2699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2699F">
              <w:rPr>
                <w:rFonts w:ascii="Times New Roman" w:hAnsi="Times New Roman" w:cs="Times New Roman"/>
                <w:sz w:val="24"/>
                <w:szCs w:val="24"/>
              </w:rPr>
              <w:t>Не представлен оригинал референции банка, выданной не ранее, чем за 30 календарных дней до истечения срока окончания приема конкурентных заявок, в которой указываются все открытые счета, факты нарушения контрагентом платежных обязательств, обороты по счетам (за последний год до даты получения референции), характеристика контрагента от банка, информация об аресте счетов;</w:t>
            </w:r>
            <w:proofErr w:type="gramEnd"/>
          </w:p>
          <w:p w:rsidR="00B2699F" w:rsidRPr="00B2699F" w:rsidRDefault="00B2699F" w:rsidP="00B2699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2699F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представлена информация о контрагенте, его цепочке собственников, включая бенефициаров (в том числе конечных) (сканированная копия и </w:t>
            </w:r>
            <w:proofErr w:type="spellStart"/>
            <w:r w:rsidRPr="00B2699F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B2699F">
              <w:rPr>
                <w:rFonts w:ascii="Times New Roman" w:hAnsi="Times New Roman" w:cs="Times New Roman"/>
                <w:sz w:val="24"/>
                <w:szCs w:val="24"/>
              </w:rPr>
              <w:t>) (приложение 4 к Конкурсной (Закупочной) документации);</w:t>
            </w:r>
          </w:p>
          <w:p w:rsidR="00B2699F" w:rsidRPr="00B2699F" w:rsidRDefault="00B2699F" w:rsidP="00B2699F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2699F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представлены Персональные данные субъектов </w:t>
            </w:r>
            <w:proofErr w:type="spellStart"/>
            <w:r w:rsidRPr="00B2699F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  <w:r w:rsidRPr="00B269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2699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B2699F" w:rsidRDefault="00B2699F" w:rsidP="00B26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B2699F">
              <w:rPr>
                <w:rFonts w:ascii="Times New Roman" w:hAnsi="Times New Roman" w:cs="Times New Roman"/>
                <w:sz w:val="24"/>
                <w:szCs w:val="24"/>
              </w:rPr>
              <w:t>сканированная копия паспорта или иной документ, содержащий паспортные данные (серия и номер, кем и когда выдан, место регистрации) физического лица (заверенная Участником);</w:t>
            </w:r>
            <w:r w:rsidRPr="00B2699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B2699F" w:rsidRPr="00B2699F" w:rsidRDefault="00B2699F" w:rsidP="00B269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  <w:r w:rsidRPr="00B2699F">
              <w:rPr>
                <w:rFonts w:ascii="Times New Roman" w:hAnsi="Times New Roman" w:cs="Times New Roman"/>
                <w:sz w:val="24"/>
                <w:szCs w:val="24"/>
              </w:rPr>
              <w:t>сканированная копия свидетельства о постановке на учет в налоговом органе физического лица (ИНН) или иной документ, содержащий номер ИНН физического лица (заверенная Участником)</w:t>
            </w:r>
            <w:r w:rsidRPr="00B2699F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 (не представлена на </w:t>
            </w:r>
            <w:proofErr w:type="spellStart"/>
            <w:r w:rsidRPr="00B2699F">
              <w:rPr>
                <w:rFonts w:ascii="Times New Roman" w:hAnsi="Times New Roman" w:cs="Times New Roman"/>
                <w:sz w:val="24"/>
                <w:szCs w:val="24"/>
              </w:rPr>
              <w:t>Ямилова</w:t>
            </w:r>
            <w:proofErr w:type="spellEnd"/>
            <w:r w:rsidRPr="00B26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9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Р.Х., </w:t>
            </w:r>
            <w:proofErr w:type="spellStart"/>
            <w:r w:rsidRPr="00B2699F">
              <w:rPr>
                <w:rFonts w:ascii="Times New Roman" w:hAnsi="Times New Roman" w:cs="Times New Roman"/>
                <w:sz w:val="24"/>
                <w:szCs w:val="24"/>
              </w:rPr>
              <w:t>Хазигалеева</w:t>
            </w:r>
            <w:proofErr w:type="spellEnd"/>
            <w:r w:rsidRPr="00B2699F">
              <w:rPr>
                <w:rFonts w:ascii="Times New Roman" w:hAnsi="Times New Roman" w:cs="Times New Roman"/>
                <w:sz w:val="24"/>
                <w:szCs w:val="24"/>
              </w:rPr>
              <w:t xml:space="preserve"> С.М.)</w:t>
            </w:r>
          </w:p>
          <w:p w:rsidR="00B2699F" w:rsidRPr="00B2699F" w:rsidRDefault="00B2699F" w:rsidP="00B2699F">
            <w:pPr>
              <w:pStyle w:val="ac"/>
              <w:spacing w:after="0" w:line="240" w:lineRule="auto"/>
              <w:ind w:left="0"/>
              <w:jc w:val="both"/>
              <w:rPr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699F">
              <w:rPr>
                <w:rFonts w:ascii="Times New Roman" w:hAnsi="Times New Roman" w:cs="Times New Roman"/>
                <w:sz w:val="24"/>
                <w:szCs w:val="24"/>
              </w:rPr>
              <w:t>. В письме о подаче оферты не определена форма обеспечения заявки участника, задаток не перечислен, банковская гарантия не предоставлена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0"/>
      <w:tr w:rsidR="00B2699F" w:rsidRPr="00B2699F" w:rsidTr="00B2699F">
        <w:tc>
          <w:tcPr>
            <w:tcW w:w="314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99F" w:rsidRPr="002815E6" w:rsidRDefault="00B2699F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Закрытое акционерное общество «Уфимская Химическая Компания»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99F" w:rsidRDefault="00B2699F" w:rsidP="00335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Отклонить Заявку ЗАО </w:t>
            </w: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«Уфимская Химическая Компания»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п. 3.9.2.6 б) Конкурсной (закупочной) документации, а именно:</w:t>
            </w:r>
          </w:p>
          <w:p w:rsidR="00B2699F" w:rsidRPr="00B2699F" w:rsidRDefault="00B2699F" w:rsidP="003353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Получено отрицательное заключение службы экономической безопасности АО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(СЭБ АО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"):</w:t>
            </w:r>
            <w:r w:rsidRPr="00B26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5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 соответствует требованиям пунктов: 29.5.3, </w:t>
            </w:r>
            <w:r w:rsidR="00092F02" w:rsidRPr="00EF5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29.6.15, </w:t>
            </w:r>
            <w:r w:rsidRPr="00EF5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29.6.19 и 29.6.20 информационной карты Конкур</w:t>
            </w:r>
            <w:r w:rsidR="00092F02" w:rsidRPr="00EF5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сной (закупочной) документации</w:t>
            </w:r>
            <w:r w:rsid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2699F" w:rsidRPr="00092F02" w:rsidRDefault="00092F02" w:rsidP="00092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B2699F"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представлен оригинал референции банка, выданной не ранее, чем за 30 календарных дней до истечения срока окончания приема конкурентных заявок, в которой указываются все открытые счета, факты нарушения контрагентом платежных обязательств, обороты по счетам (за последний год до даты получения референции), характеристика контрагента от банка, информация об аресте счетов</w:t>
            </w:r>
            <w:r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(Участник предоставил референцию банка от 05.10.2015г. №84-117/1835 от</w:t>
            </w:r>
            <w:proofErr w:type="gramEnd"/>
            <w:r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Уфимского филиала ОАО "Банк Москвы" без оборотов по счету за последний год до даты получения референции)</w:t>
            </w:r>
            <w:r w:rsidR="00B2699F"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proofErr w:type="gramEnd"/>
          </w:p>
          <w:p w:rsidR="00B2699F" w:rsidRPr="00092F02" w:rsidRDefault="00092F02" w:rsidP="00092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</w:t>
            </w:r>
            <w:r w:rsidR="00B2699F"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нформация о контрагенте, его цепочке собственников, включая бенефициаров (в том числе конечных) (сканированная копия и </w:t>
            </w:r>
            <w:proofErr w:type="spellStart"/>
            <w:r w:rsidR="00B2699F"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proofErr w:type="spellEnd"/>
            <w:r w:rsidR="00B2699F"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(приложение 4 к Конкурсной (Закупочной) документации)</w:t>
            </w:r>
            <w:r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заполнена не должным образом</w:t>
            </w:r>
            <w:r w:rsidR="00B2699F"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2699F" w:rsidRPr="00092F02" w:rsidRDefault="00092F02" w:rsidP="00092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B2699F"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представлены Персональные данные субъектов </w:t>
            </w:r>
            <w:proofErr w:type="spellStart"/>
            <w:r w:rsidR="00B2699F"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  <w:proofErr w:type="spellEnd"/>
            <w:r w:rsidR="00B2699F"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2699F"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092F02" w:rsidRPr="00092F02" w:rsidRDefault="00092F02" w:rsidP="00092F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сканированная копия паспорта или иной документ, содержащий паспортные данные (серия и номер, кем и когда выдан, место регистрации) физического лица (заверенная Участником);</w:t>
            </w:r>
          </w:p>
          <w:p w:rsidR="00092F02" w:rsidRPr="00092F02" w:rsidRDefault="00092F02" w:rsidP="00092F0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сканированная копия свидетельства о постановке на учет в налоговом органе физического лица (ИНН) или иной документ, содержащий номер ИНН физического лица (</w:t>
            </w:r>
            <w:proofErr w:type="gramStart"/>
            <w:r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заверенную</w:t>
            </w:r>
            <w:proofErr w:type="gramEnd"/>
            <w:r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Участником) (не представлено на </w:t>
            </w:r>
            <w:proofErr w:type="spellStart"/>
            <w:r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Евтух</w:t>
            </w:r>
            <w:proofErr w:type="spellEnd"/>
            <w:r w:rsidRPr="00092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Архипов И.А., Каримова Г.Г.).</w:t>
            </w:r>
          </w:p>
          <w:p w:rsidR="00B2699F" w:rsidRDefault="00092F02" w:rsidP="00092F02">
            <w:pPr>
              <w:pStyle w:val="ad"/>
              <w:keepNext w:val="0"/>
              <w:widowControl w:val="0"/>
              <w:spacing w:before="0" w:after="0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5.Не представлено </w:t>
            </w:r>
            <w:r w:rsidRPr="00135C1D">
              <w:rPr>
                <w:sz w:val="24"/>
                <w:szCs w:val="24"/>
              </w:rPr>
              <w:t xml:space="preserve">Свидетельство о государственной регистрации юридического лица </w:t>
            </w:r>
            <w:r w:rsidRPr="00092F02">
              <w:rPr>
                <w:sz w:val="24"/>
                <w:szCs w:val="24"/>
              </w:rPr>
              <w:t>(сканированная копия)</w:t>
            </w:r>
            <w:r w:rsidR="006503DB">
              <w:rPr>
                <w:sz w:val="24"/>
                <w:szCs w:val="24"/>
              </w:rPr>
              <w:t>.</w:t>
            </w:r>
          </w:p>
          <w:p w:rsidR="00092F02" w:rsidRDefault="00092F02" w:rsidP="00092F02">
            <w:pPr>
              <w:pStyle w:val="ad"/>
              <w:keepNext w:val="0"/>
              <w:widowControl w:val="0"/>
              <w:spacing w:before="0" w:after="0"/>
              <w:ind w:right="0"/>
              <w:jc w:val="both"/>
              <w:rPr>
                <w:sz w:val="24"/>
                <w:szCs w:val="24"/>
              </w:rPr>
            </w:pPr>
          </w:p>
          <w:p w:rsidR="00092F02" w:rsidRPr="00B2699F" w:rsidRDefault="00092F02" w:rsidP="00092F02">
            <w:pPr>
              <w:pStyle w:val="ad"/>
              <w:keepNext w:val="0"/>
              <w:widowControl w:val="0"/>
              <w:spacing w:before="0" w:after="0"/>
              <w:ind w:right="0"/>
              <w:jc w:val="both"/>
              <w:rPr>
                <w:sz w:val="24"/>
                <w:szCs w:val="24"/>
              </w:rPr>
            </w:pPr>
            <w:r w:rsidRPr="00383ED5">
              <w:rPr>
                <w:sz w:val="24"/>
                <w:szCs w:val="24"/>
              </w:rPr>
              <w:t>Закупочная комиссия запросила у Участника разъяснения Заявки, в том числе представления отсутствующих документов. Уч</w:t>
            </w:r>
            <w:r w:rsidR="006503DB">
              <w:rPr>
                <w:sz w:val="24"/>
                <w:szCs w:val="24"/>
              </w:rPr>
              <w:t xml:space="preserve">астник не предоставил по </w:t>
            </w:r>
            <w:proofErr w:type="spellStart"/>
            <w:r w:rsidR="006503DB">
              <w:rPr>
                <w:sz w:val="24"/>
                <w:szCs w:val="24"/>
              </w:rPr>
              <w:t>до</w:t>
            </w:r>
            <w:r w:rsidRPr="00383ED5">
              <w:rPr>
                <w:sz w:val="24"/>
                <w:szCs w:val="24"/>
              </w:rPr>
              <w:t>запросу</w:t>
            </w:r>
            <w:proofErr w:type="spellEnd"/>
            <w:r w:rsidRPr="00383ED5">
              <w:rPr>
                <w:sz w:val="24"/>
                <w:szCs w:val="24"/>
              </w:rPr>
              <w:t xml:space="preserve"> вышеуказанные документы.</w:t>
            </w:r>
          </w:p>
        </w:tc>
      </w:tr>
    </w:tbl>
    <w:p w:rsidR="00143851" w:rsidRPr="002815E6" w:rsidRDefault="00143851" w:rsidP="001438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58D3" w:rsidRDefault="00A35EF8" w:rsidP="00C263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</w:t>
      </w:r>
      <w:r w:rsidR="001438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Допустить к итоговой оценке следующие предложения участников запроса предложений (объявления о покупке),</w:t>
      </w:r>
      <w:r w:rsidR="001774A1"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подавших заявки на участие в запросе предложений (объявлении о покупке):</w:t>
      </w:r>
    </w:p>
    <w:p w:rsidR="00074BE8" w:rsidRDefault="00074BE8" w:rsidP="00C263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6429"/>
        <w:gridCol w:w="2684"/>
      </w:tblGrid>
      <w:tr w:rsidR="000807C4" w:rsidRPr="00317194" w:rsidTr="00383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B2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участника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07C4" w:rsidRPr="00317194" w:rsidRDefault="000807C4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B2699F" w:rsidRPr="00317194" w:rsidTr="00383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99F" w:rsidRPr="00397BD8" w:rsidRDefault="00B2699F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99F" w:rsidRPr="00397BD8" w:rsidRDefault="00B2699F" w:rsidP="00B2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ограниченной ответственностью «Торговый дом «Крезол»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99F" w:rsidRPr="00397BD8" w:rsidRDefault="00B2699F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226 630,68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с НДС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2699F" w:rsidRPr="00317194" w:rsidTr="00383C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99F" w:rsidRPr="00397BD8" w:rsidRDefault="00B2699F" w:rsidP="0038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99F" w:rsidRPr="00397BD8" w:rsidRDefault="00B2699F" w:rsidP="00B26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зводственно-коммерческая фирма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УралРеаХим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699F" w:rsidRPr="00397BD8" w:rsidRDefault="00B2699F" w:rsidP="00335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Pr="00E9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159 748,82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(цена с НДС)</w:t>
            </w:r>
          </w:p>
        </w:tc>
      </w:tr>
    </w:tbl>
    <w:p w:rsidR="006058D3" w:rsidRPr="001774A1" w:rsidRDefault="006058D3" w:rsidP="00573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3B4" w:rsidRDefault="006058D3" w:rsidP="00C2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074BE8" w:rsidRPr="00C263B4" w:rsidRDefault="00074BE8" w:rsidP="00C26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63B4" w:rsidRPr="00C263B4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63B4">
        <w:rPr>
          <w:rFonts w:ascii="Times New Roman" w:hAnsi="Times New Roman" w:cs="Times New Roman"/>
          <w:sz w:val="24"/>
          <w:szCs w:val="24"/>
        </w:rPr>
        <w:t xml:space="preserve"> «За»    члена Конкурсной (Закупочной) комиссии.</w:t>
      </w:r>
    </w:p>
    <w:p w:rsidR="00C263B4" w:rsidRPr="00C263B4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63B4">
        <w:rPr>
          <w:rFonts w:ascii="Times New Roman" w:hAnsi="Times New Roman" w:cs="Times New Roman"/>
          <w:sz w:val="24"/>
          <w:szCs w:val="24"/>
        </w:rPr>
        <w:t>«Против»    членов Конкурсной (Закупочной) комиссии.</w:t>
      </w:r>
    </w:p>
    <w:p w:rsidR="00C263B4" w:rsidRPr="00C263B4" w:rsidRDefault="00C263B4" w:rsidP="00C263B4">
      <w:pPr>
        <w:snapToGri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263B4">
        <w:rPr>
          <w:rFonts w:ascii="Times New Roman" w:hAnsi="Times New Roman" w:cs="Times New Roman"/>
          <w:sz w:val="24"/>
          <w:szCs w:val="24"/>
        </w:rPr>
        <w:t>«Воздержалось»    членов Конкурсной (Закупочной) комиссии.</w:t>
      </w:r>
    </w:p>
    <w:p w:rsidR="00C263B4" w:rsidRPr="00C263B4" w:rsidRDefault="00C263B4" w:rsidP="00C263B4">
      <w:pPr>
        <w:keepNext/>
        <w:snapToGrid w:val="0"/>
        <w:spacing w:after="240"/>
        <w:outlineLvl w:val="1"/>
        <w:rPr>
          <w:rFonts w:ascii="Times New Roman" w:hAnsi="Times New Roman" w:cs="Times New Roman"/>
          <w:b/>
          <w:caps/>
          <w:sz w:val="24"/>
          <w:szCs w:val="24"/>
        </w:rPr>
      </w:pPr>
      <w:r w:rsidRPr="00C263B4">
        <w:rPr>
          <w:rFonts w:ascii="Times New Roman" w:hAnsi="Times New Roman" w:cs="Times New Roman"/>
          <w:b/>
          <w:caps/>
          <w:sz w:val="24"/>
          <w:szCs w:val="24"/>
        </w:rPr>
        <w:t>ПОДПИСИ ЧЛЕНОВ КОНКУРСНОЙ (ЗАКУПОЧНОЙ)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0A41D7" w:rsidRPr="00C263B4" w:rsidTr="00331D85">
        <w:trPr>
          <w:trHeight w:val="80"/>
        </w:trPr>
        <w:tc>
          <w:tcPr>
            <w:tcW w:w="5580" w:type="dxa"/>
            <w:vAlign w:val="center"/>
          </w:tcPr>
          <w:p w:rsidR="000A41D7" w:rsidRPr="00C263B4" w:rsidRDefault="00092F02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</w:t>
            </w:r>
            <w:r w:rsidR="000A41D7" w:rsidRPr="00C2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41D7" w:rsidRPr="00C263B4" w:rsidTr="00331D85">
        <w:tc>
          <w:tcPr>
            <w:tcW w:w="5580" w:type="dxa"/>
            <w:vAlign w:val="center"/>
          </w:tcPr>
          <w:p w:rsidR="000A41D7" w:rsidRPr="00C263B4" w:rsidRDefault="00092F02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C263B4" w:rsidRDefault="00092F02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Д.А. Домашний</w:t>
            </w:r>
          </w:p>
        </w:tc>
      </w:tr>
      <w:tr w:rsidR="000A41D7" w:rsidRPr="00C263B4" w:rsidTr="00331D85">
        <w:tc>
          <w:tcPr>
            <w:tcW w:w="5580" w:type="dxa"/>
            <w:vAlign w:val="center"/>
          </w:tcPr>
          <w:p w:rsidR="000A41D7" w:rsidRPr="00C263B4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41D7" w:rsidRPr="00C263B4" w:rsidTr="00331D85">
        <w:tc>
          <w:tcPr>
            <w:tcW w:w="5580" w:type="dxa"/>
            <w:vAlign w:val="center"/>
          </w:tcPr>
          <w:p w:rsidR="000A41D7" w:rsidRPr="00C263B4" w:rsidRDefault="000A41D7" w:rsidP="00331D85">
            <w:pPr>
              <w:pStyle w:val="a9"/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Начальник СЭБ АО «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Ю.А. Чернявский</w:t>
            </w:r>
          </w:p>
        </w:tc>
      </w:tr>
      <w:tr w:rsidR="000A41D7" w:rsidRPr="00C263B4" w:rsidTr="00331D85">
        <w:trPr>
          <w:trHeight w:val="80"/>
        </w:trPr>
        <w:tc>
          <w:tcPr>
            <w:tcW w:w="5580" w:type="dxa"/>
            <w:vAlign w:val="center"/>
          </w:tcPr>
          <w:p w:rsidR="000A41D7" w:rsidRPr="00C263B4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1D7" w:rsidRPr="00C263B4" w:rsidTr="00331D85">
        <w:trPr>
          <w:trHeight w:val="80"/>
        </w:trPr>
        <w:tc>
          <w:tcPr>
            <w:tcW w:w="5580" w:type="dxa"/>
            <w:vAlign w:val="center"/>
          </w:tcPr>
          <w:p w:rsidR="000A41D7" w:rsidRPr="00C263B4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УЛиМТО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АО «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Тюменьэнерго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Е.А. Ванина</w:t>
            </w:r>
          </w:p>
        </w:tc>
      </w:tr>
      <w:tr w:rsidR="000A41D7" w:rsidRPr="00C263B4" w:rsidTr="00331D85">
        <w:trPr>
          <w:trHeight w:val="80"/>
        </w:trPr>
        <w:tc>
          <w:tcPr>
            <w:tcW w:w="5580" w:type="dxa"/>
            <w:vAlign w:val="center"/>
          </w:tcPr>
          <w:p w:rsidR="000A41D7" w:rsidRPr="00C263B4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развитию                                    и реализации услуг 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П.В. Пивоваров</w:t>
            </w:r>
          </w:p>
        </w:tc>
      </w:tr>
      <w:tr w:rsidR="000A41D7" w:rsidRPr="00C263B4" w:rsidTr="00331D85">
        <w:trPr>
          <w:trHeight w:val="80"/>
        </w:trPr>
        <w:tc>
          <w:tcPr>
            <w:tcW w:w="5580" w:type="dxa"/>
            <w:vAlign w:val="center"/>
          </w:tcPr>
          <w:p w:rsidR="000A41D7" w:rsidRPr="00C263B4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– Начальник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ОБНУиО</w:t>
            </w:r>
            <w:proofErr w:type="spellEnd"/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С.В. Гейгер</w:t>
            </w:r>
          </w:p>
        </w:tc>
      </w:tr>
      <w:tr w:rsidR="000A41D7" w:rsidRPr="00C263B4" w:rsidTr="00331D85">
        <w:trPr>
          <w:trHeight w:val="528"/>
        </w:trPr>
        <w:tc>
          <w:tcPr>
            <w:tcW w:w="5580" w:type="dxa"/>
            <w:vAlign w:val="center"/>
          </w:tcPr>
          <w:p w:rsidR="000A41D7" w:rsidRPr="00C263B4" w:rsidRDefault="000A41D7" w:rsidP="00331D85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В.А. Марченко</w:t>
            </w:r>
          </w:p>
        </w:tc>
      </w:tr>
      <w:tr w:rsidR="000A41D7" w:rsidRPr="00C263B4" w:rsidTr="00331D85">
        <w:trPr>
          <w:trHeight w:val="80"/>
        </w:trPr>
        <w:tc>
          <w:tcPr>
            <w:tcW w:w="5580" w:type="dxa"/>
            <w:vAlign w:val="center"/>
          </w:tcPr>
          <w:p w:rsidR="000A41D7" w:rsidRPr="00C263B4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Начальник ПТС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Г.К.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Браворенко</w:t>
            </w:r>
            <w:proofErr w:type="spellEnd"/>
          </w:p>
        </w:tc>
      </w:tr>
      <w:tr w:rsidR="000A41D7" w:rsidRPr="00C263B4" w:rsidTr="00331D85">
        <w:trPr>
          <w:trHeight w:val="80"/>
        </w:trPr>
        <w:tc>
          <w:tcPr>
            <w:tcW w:w="5580" w:type="dxa"/>
            <w:vAlign w:val="center"/>
          </w:tcPr>
          <w:p w:rsidR="000A41D7" w:rsidRPr="00C263B4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ГБ 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В.А. Осипов </w:t>
            </w:r>
          </w:p>
        </w:tc>
      </w:tr>
      <w:tr w:rsidR="000A41D7" w:rsidRPr="00C263B4" w:rsidTr="00331D85">
        <w:trPr>
          <w:trHeight w:val="80"/>
        </w:trPr>
        <w:tc>
          <w:tcPr>
            <w:tcW w:w="5580" w:type="dxa"/>
            <w:vAlign w:val="center"/>
          </w:tcPr>
          <w:p w:rsidR="000A41D7" w:rsidRPr="00C263B4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ОЛиМТО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Тинин</w:t>
            </w:r>
            <w:proofErr w:type="spellEnd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41D7" w:rsidRPr="00C263B4" w:rsidTr="00331D85">
        <w:trPr>
          <w:trHeight w:val="449"/>
        </w:trPr>
        <w:tc>
          <w:tcPr>
            <w:tcW w:w="5580" w:type="dxa"/>
            <w:vAlign w:val="center"/>
          </w:tcPr>
          <w:p w:rsidR="000A41D7" w:rsidRPr="00C263B4" w:rsidRDefault="000A41D7" w:rsidP="00331D85">
            <w:pPr>
              <w:pStyle w:val="a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Конкурсной (Закупочной) комиссии</w:t>
            </w:r>
          </w:p>
        </w:tc>
        <w:tc>
          <w:tcPr>
            <w:tcW w:w="1800" w:type="dxa"/>
            <w:vAlign w:val="bottom"/>
          </w:tcPr>
          <w:p w:rsidR="000A41D7" w:rsidRPr="00C263B4" w:rsidRDefault="000A41D7" w:rsidP="00331D85">
            <w:pPr>
              <w:pStyle w:val="a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0A41D7" w:rsidRPr="00C263B4" w:rsidRDefault="000A41D7" w:rsidP="00331D8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 xml:space="preserve">С.С. </w:t>
            </w:r>
            <w:proofErr w:type="spellStart"/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Шумель</w:t>
            </w:r>
            <w:proofErr w:type="spellEnd"/>
          </w:p>
        </w:tc>
      </w:tr>
    </w:tbl>
    <w:p w:rsidR="00357430" w:rsidRPr="00C263B4" w:rsidRDefault="00357430" w:rsidP="00C26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57430" w:rsidRPr="00C2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65538"/>
    <w:multiLevelType w:val="hybridMultilevel"/>
    <w:tmpl w:val="F2BA8F42"/>
    <w:lvl w:ilvl="0" w:tplc="D2DCEC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5CD94227"/>
    <w:multiLevelType w:val="multilevel"/>
    <w:tmpl w:val="172E8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3">
    <w:nsid w:val="6DCE4D30"/>
    <w:multiLevelType w:val="multilevel"/>
    <w:tmpl w:val="B34CED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D3"/>
    <w:rsid w:val="00074BE8"/>
    <w:rsid w:val="000807C4"/>
    <w:rsid w:val="00092F02"/>
    <w:rsid w:val="000A41D7"/>
    <w:rsid w:val="00143851"/>
    <w:rsid w:val="001774A1"/>
    <w:rsid w:val="00357430"/>
    <w:rsid w:val="004051C7"/>
    <w:rsid w:val="00573A94"/>
    <w:rsid w:val="006058D3"/>
    <w:rsid w:val="00611FED"/>
    <w:rsid w:val="006503DB"/>
    <w:rsid w:val="00704463"/>
    <w:rsid w:val="00736D6E"/>
    <w:rsid w:val="007D1885"/>
    <w:rsid w:val="008405B4"/>
    <w:rsid w:val="008C57F7"/>
    <w:rsid w:val="0098230F"/>
    <w:rsid w:val="00A35EF8"/>
    <w:rsid w:val="00A8160B"/>
    <w:rsid w:val="00B2699F"/>
    <w:rsid w:val="00B80E5E"/>
    <w:rsid w:val="00C074DB"/>
    <w:rsid w:val="00C263B4"/>
    <w:rsid w:val="00DD16C4"/>
    <w:rsid w:val="00E34235"/>
    <w:rsid w:val="00E455FC"/>
    <w:rsid w:val="00E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B2699F"/>
    <w:pPr>
      <w:keepNext/>
      <w:numPr>
        <w:ilvl w:val="4"/>
        <w:numId w:val="2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2699F"/>
    <w:pPr>
      <w:widowControl w:val="0"/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2699F"/>
    <w:pPr>
      <w:widowControl w:val="0"/>
      <w:numPr>
        <w:ilvl w:val="6"/>
        <w:numId w:val="2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2699F"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2699F"/>
    <w:pPr>
      <w:widowControl w:val="0"/>
      <w:numPr>
        <w:ilvl w:val="8"/>
        <w:numId w:val="2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C263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263B4"/>
  </w:style>
  <w:style w:type="character" w:styleId="ab">
    <w:name w:val="Hyperlink"/>
    <w:basedOn w:val="a0"/>
    <w:uiPriority w:val="99"/>
    <w:unhideWhenUsed/>
    <w:rsid w:val="00143851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B2699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B2699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2699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2699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2699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2699F"/>
    <w:rPr>
      <w:rFonts w:ascii="Arial" w:eastAsia="Times New Roman" w:hAnsi="Arial" w:cs="Times New Roman"/>
      <w:szCs w:val="20"/>
      <w:lang w:eastAsia="ru-RU"/>
    </w:rPr>
  </w:style>
  <w:style w:type="paragraph" w:customStyle="1" w:styleId="ad">
    <w:name w:val="Таблица шапка"/>
    <w:basedOn w:val="a"/>
    <w:rsid w:val="00092F02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B2699F"/>
    <w:pPr>
      <w:keepNext/>
      <w:numPr>
        <w:ilvl w:val="4"/>
        <w:numId w:val="2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2699F"/>
    <w:pPr>
      <w:widowControl w:val="0"/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2699F"/>
    <w:pPr>
      <w:widowControl w:val="0"/>
      <w:numPr>
        <w:ilvl w:val="6"/>
        <w:numId w:val="2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2699F"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2699F"/>
    <w:pPr>
      <w:widowControl w:val="0"/>
      <w:numPr>
        <w:ilvl w:val="8"/>
        <w:numId w:val="2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unhideWhenUsed/>
    <w:rsid w:val="00C263B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263B4"/>
  </w:style>
  <w:style w:type="character" w:styleId="ab">
    <w:name w:val="Hyperlink"/>
    <w:basedOn w:val="a0"/>
    <w:uiPriority w:val="99"/>
    <w:unhideWhenUsed/>
    <w:rsid w:val="00143851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B2699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B2699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2699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2699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2699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2699F"/>
    <w:rPr>
      <w:rFonts w:ascii="Arial" w:eastAsia="Times New Roman" w:hAnsi="Arial" w:cs="Times New Roman"/>
      <w:szCs w:val="20"/>
      <w:lang w:eastAsia="ru-RU"/>
    </w:rPr>
  </w:style>
  <w:style w:type="paragraph" w:customStyle="1" w:styleId="ad">
    <w:name w:val="Таблица шапка"/>
    <w:basedOn w:val="a"/>
    <w:rsid w:val="00092F02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Чунтонов Антон Владимирович</dc:creator>
  <cp:lastModifiedBy>Чунтонов Антон Владимирович</cp:lastModifiedBy>
  <cp:revision>15</cp:revision>
  <cp:lastPrinted>2015-12-08T12:19:00Z</cp:lastPrinted>
  <dcterms:created xsi:type="dcterms:W3CDTF">2015-03-02T11:40:00Z</dcterms:created>
  <dcterms:modified xsi:type="dcterms:W3CDTF">2015-12-11T04:13:00Z</dcterms:modified>
</cp:coreProperties>
</file>