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57" w:rsidRDefault="00826057" w:rsidP="00826057">
      <w:pPr>
        <w:pStyle w:val="1"/>
        <w:rPr>
          <w:sz w:val="27"/>
          <w:szCs w:val="27"/>
        </w:rPr>
      </w:pPr>
      <w:bookmarkStart w:id="0" w:name="_GoBack"/>
      <w:bookmarkEnd w:id="0"/>
      <w:r>
        <w:rPr>
          <w:sz w:val="27"/>
          <w:szCs w:val="27"/>
        </w:rPr>
        <w:t>Конкурс (тендер) № 44297 </w:t>
      </w:r>
      <w:r>
        <w:rPr>
          <w:rStyle w:val="bg1"/>
          <w:sz w:val="20"/>
          <w:szCs w:val="20"/>
        </w:rPr>
        <w:t>(предварительный квалификационный отбор 19.03.2015 в 08:00)</w:t>
      </w:r>
    </w:p>
    <w:p w:rsidR="00826057" w:rsidRDefault="00826057" w:rsidP="00826057">
      <w:pPr>
        <w:pStyle w:val="imp"/>
        <w:rPr>
          <w:rFonts w:ascii="Arial" w:hAnsi="Arial" w:cs="Arial"/>
          <w:sz w:val="18"/>
          <w:szCs w:val="18"/>
        </w:rPr>
      </w:pPr>
      <w:r>
        <w:rPr>
          <w:rFonts w:ascii="Arial" w:hAnsi="Arial" w:cs="Arial"/>
          <w:sz w:val="18"/>
          <w:szCs w:val="18"/>
        </w:rPr>
        <w:t xml:space="preserve">Конкурс успешно объявлен! </w:t>
      </w:r>
      <w:r>
        <w:rPr>
          <w:rFonts w:ascii="Arial" w:hAnsi="Arial" w:cs="Arial"/>
          <w:sz w:val="18"/>
          <w:szCs w:val="18"/>
        </w:rPr>
        <w:br/>
      </w:r>
      <w:r>
        <w:rPr>
          <w:rFonts w:ascii="Arial" w:hAnsi="Arial" w:cs="Arial"/>
          <w:sz w:val="18"/>
          <w:szCs w:val="18"/>
        </w:rPr>
        <w:br/>
      </w:r>
      <w:hyperlink r:id="rId5" w:history="1">
        <w:r>
          <w:rPr>
            <w:rStyle w:val="a3"/>
            <w:sz w:val="18"/>
            <w:szCs w:val="18"/>
          </w:rPr>
          <w:t>По вашей тематике найдено 2005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26057">
        <w:trPr>
          <w:tblCellSpacing w:w="0" w:type="dxa"/>
        </w:trPr>
        <w:tc>
          <w:tcPr>
            <w:tcW w:w="0" w:type="auto"/>
            <w:hideMark/>
          </w:tcPr>
          <w:p w:rsidR="00826057" w:rsidRDefault="00826057" w:rsidP="00826057">
            <w:pPr>
              <w:rPr>
                <w:rFonts w:ascii="Arial" w:hAnsi="Arial" w:cs="Arial"/>
                <w:sz w:val="18"/>
                <w:szCs w:val="18"/>
              </w:rPr>
            </w:pPr>
            <w:r>
              <w:rPr>
                <w:rStyle w:val="a4"/>
                <w:rFonts w:ascii="Arial" w:hAnsi="Arial" w:cs="Arial"/>
                <w:sz w:val="18"/>
                <w:szCs w:val="18"/>
              </w:rPr>
              <w:t>Извещение</w:t>
            </w:r>
          </w:p>
          <w:p w:rsidR="00826057" w:rsidRDefault="00D66F4E" w:rsidP="00826057">
            <w:pPr>
              <w:shd w:val="clear" w:color="auto" w:fill="D5DADB"/>
              <w:rPr>
                <w:rFonts w:ascii="Arial" w:hAnsi="Arial" w:cs="Arial"/>
                <w:color w:val="333333"/>
                <w:sz w:val="18"/>
                <w:szCs w:val="18"/>
              </w:rPr>
            </w:pPr>
            <w:hyperlink r:id="rId6" w:history="1">
              <w:r w:rsidR="00826057">
                <w:rPr>
                  <w:rFonts w:ascii="Arial" w:hAnsi="Arial" w:cs="Arial"/>
                  <w:color w:val="333333"/>
                  <w:sz w:val="18"/>
                  <w:szCs w:val="18"/>
                  <w:u w:val="single"/>
                  <w:bdr w:val="none" w:sz="0" w:space="0" w:color="auto" w:frame="1"/>
                </w:rPr>
                <w:t>Лоты - 1</w:t>
              </w:r>
            </w:hyperlink>
          </w:p>
          <w:p w:rsidR="00826057" w:rsidRDefault="00D66F4E" w:rsidP="00826057">
            <w:pPr>
              <w:shd w:val="clear" w:color="auto" w:fill="D5DADB"/>
              <w:rPr>
                <w:rFonts w:ascii="Arial" w:hAnsi="Arial" w:cs="Arial"/>
                <w:color w:val="333333"/>
                <w:sz w:val="18"/>
                <w:szCs w:val="18"/>
              </w:rPr>
            </w:pPr>
            <w:hyperlink r:id="rId7" w:history="1">
              <w:r w:rsidR="00826057">
                <w:rPr>
                  <w:rFonts w:ascii="Arial" w:hAnsi="Arial" w:cs="Arial"/>
                  <w:color w:val="333333"/>
                  <w:sz w:val="18"/>
                  <w:szCs w:val="18"/>
                  <w:u w:val="single"/>
                  <w:bdr w:val="none" w:sz="0" w:space="0" w:color="auto" w:frame="1"/>
                </w:rPr>
                <w:t>Запросы разъяснений - 0</w:t>
              </w:r>
            </w:hyperlink>
          </w:p>
          <w:p w:rsidR="00826057" w:rsidRDefault="00D66F4E" w:rsidP="00826057">
            <w:pPr>
              <w:shd w:val="clear" w:color="auto" w:fill="D5DADB"/>
              <w:rPr>
                <w:rFonts w:ascii="Arial" w:hAnsi="Arial" w:cs="Arial"/>
                <w:color w:val="333333"/>
                <w:sz w:val="18"/>
                <w:szCs w:val="18"/>
              </w:rPr>
            </w:pPr>
            <w:hyperlink r:id="rId8" w:history="1">
              <w:r w:rsidR="00826057">
                <w:rPr>
                  <w:rFonts w:ascii="Arial" w:hAnsi="Arial" w:cs="Arial"/>
                  <w:color w:val="333333"/>
                  <w:sz w:val="18"/>
                  <w:szCs w:val="18"/>
                  <w:u w:val="single"/>
                  <w:bdr w:val="none" w:sz="0" w:space="0" w:color="auto" w:frame="1"/>
                </w:rPr>
                <w:t>Приглашения к участию - 0</w:t>
              </w:r>
            </w:hyperlink>
          </w:p>
          <w:p w:rsidR="00826057" w:rsidRDefault="00D66F4E" w:rsidP="00826057">
            <w:pPr>
              <w:shd w:val="clear" w:color="auto" w:fill="D5DADB"/>
              <w:rPr>
                <w:rFonts w:ascii="Arial" w:hAnsi="Arial" w:cs="Arial"/>
                <w:color w:val="333333"/>
                <w:sz w:val="18"/>
                <w:szCs w:val="18"/>
              </w:rPr>
            </w:pPr>
            <w:hyperlink r:id="rId9" w:history="1">
              <w:r w:rsidR="00826057">
                <w:rPr>
                  <w:rFonts w:ascii="Arial" w:hAnsi="Arial" w:cs="Arial"/>
                  <w:color w:val="333333"/>
                  <w:sz w:val="18"/>
                  <w:szCs w:val="18"/>
                  <w:u w:val="single"/>
                  <w:bdr w:val="none" w:sz="0" w:space="0" w:color="auto" w:frame="1"/>
                </w:rPr>
                <w:t>Претенденты - 0</w:t>
              </w:r>
            </w:hyperlink>
          </w:p>
          <w:p w:rsidR="00826057" w:rsidRDefault="00D66F4E" w:rsidP="00826057">
            <w:pPr>
              <w:shd w:val="clear" w:color="auto" w:fill="D5DADB"/>
              <w:rPr>
                <w:rFonts w:ascii="Arial" w:hAnsi="Arial" w:cs="Arial"/>
                <w:color w:val="333333"/>
                <w:sz w:val="18"/>
                <w:szCs w:val="18"/>
              </w:rPr>
            </w:pPr>
            <w:hyperlink r:id="rId10" w:history="1">
              <w:r w:rsidR="00826057">
                <w:rPr>
                  <w:rFonts w:ascii="Arial" w:hAnsi="Arial" w:cs="Arial"/>
                  <w:color w:val="333333"/>
                  <w:sz w:val="18"/>
                  <w:szCs w:val="18"/>
                  <w:u w:val="single"/>
                  <w:bdr w:val="none" w:sz="0" w:space="0" w:color="auto" w:frame="1"/>
                </w:rPr>
                <w:t>Статистика посещений</w:t>
              </w:r>
            </w:hyperlink>
          </w:p>
        </w:tc>
      </w:tr>
    </w:tbl>
    <w:p w:rsidR="00826057" w:rsidRDefault="00826057" w:rsidP="00826057">
      <w:pPr>
        <w:rPr>
          <w:rFonts w:ascii="Arial" w:hAnsi="Arial" w:cs="Arial"/>
          <w:sz w:val="18"/>
          <w:szCs w:val="18"/>
        </w:rPr>
      </w:pPr>
    </w:p>
    <w:tbl>
      <w:tblPr>
        <w:tblW w:w="5000" w:type="pct"/>
        <w:tblCellSpacing w:w="7" w:type="dxa"/>
        <w:tblCellMar>
          <w:left w:w="0" w:type="dxa"/>
          <w:right w:w="0" w:type="dxa"/>
        </w:tblCellMar>
        <w:tblLook w:val="04A0" w:firstRow="1" w:lastRow="0" w:firstColumn="1" w:lastColumn="0" w:noHBand="0" w:noVBand="1"/>
      </w:tblPr>
      <w:tblGrid>
        <w:gridCol w:w="9355"/>
      </w:tblGrid>
      <w:tr w:rsidR="00826057">
        <w:trPr>
          <w:tblCellSpacing w:w="7" w:type="dxa"/>
        </w:trPr>
        <w:tc>
          <w:tcPr>
            <w:tcW w:w="0" w:type="auto"/>
            <w:shd w:val="clear" w:color="auto" w:fill="C2C9CD"/>
            <w:tcMar>
              <w:top w:w="75" w:type="dxa"/>
              <w:left w:w="75" w:type="dxa"/>
              <w:bottom w:w="75" w:type="dxa"/>
              <w:right w:w="75" w:type="dxa"/>
            </w:tcMar>
            <w:hideMark/>
          </w:tcPr>
          <w:p w:rsidR="00826057" w:rsidRDefault="00D66F4E">
            <w:pPr>
              <w:shd w:val="clear" w:color="auto" w:fill="C2C9CD"/>
              <w:spacing w:line="288" w:lineRule="auto"/>
              <w:outlineLvl w:val="2"/>
              <w:rPr>
                <w:rFonts w:ascii="Arial" w:hAnsi="Arial" w:cs="Arial"/>
                <w:color w:val="333333"/>
                <w:sz w:val="18"/>
                <w:szCs w:val="18"/>
              </w:rPr>
            </w:pPr>
            <w:hyperlink r:id="rId11" w:history="1">
              <w:r w:rsidR="00826057">
                <w:rPr>
                  <w:rFonts w:ascii="Arial" w:hAnsi="Arial" w:cs="Arial"/>
                  <w:b/>
                  <w:bCs/>
                  <w:color w:val="1C50A4"/>
                  <w:sz w:val="18"/>
                  <w:szCs w:val="18"/>
                </w:rPr>
                <w:t>Филиал ОАО "Тюменьэнерго" Урайские электрические сети</w:t>
              </w:r>
            </w:hyperlink>
            <w:r w:rsidR="00826057">
              <w:rPr>
                <w:rFonts w:ascii="Arial" w:hAnsi="Arial" w:cs="Arial"/>
                <w:color w:val="333333"/>
                <w:sz w:val="18"/>
                <w:szCs w:val="18"/>
              </w:rPr>
              <w:t xml:space="preserve">, 628285, Ханты-Мансийский Автономный округ - Югра, г. Урай, мкр. Электросети, </w:t>
            </w:r>
            <w:r w:rsidR="00826057">
              <w:rPr>
                <w:rFonts w:ascii="Arial" w:hAnsi="Arial" w:cs="Arial"/>
                <w:b/>
                <w:bCs/>
                <w:color w:val="333333"/>
                <w:sz w:val="18"/>
                <w:szCs w:val="18"/>
              </w:rPr>
              <w:t>приглашает принять участие в процедуре (тендере)</w:t>
            </w:r>
            <w:r w:rsidR="00826057">
              <w:rPr>
                <w:rFonts w:ascii="Arial" w:hAnsi="Arial" w:cs="Arial"/>
                <w:color w:val="333333"/>
                <w:sz w:val="18"/>
                <w:szCs w:val="18"/>
              </w:rPr>
              <w:t>.</w:t>
            </w:r>
          </w:p>
        </w:tc>
      </w:tr>
      <w:tr w:rsidR="0082605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16"/>
              <w:gridCol w:w="6611"/>
            </w:tblGrid>
            <w:tr w:rsidR="00826057">
              <w:trPr>
                <w:tblCellSpacing w:w="0" w:type="dxa"/>
              </w:trPr>
              <w:tc>
                <w:tcPr>
                  <w:tcW w:w="0" w:type="auto"/>
                  <w:shd w:val="clear" w:color="auto" w:fill="E9E9E9"/>
                  <w:hideMark/>
                </w:tcPr>
                <w:p w:rsidR="00826057" w:rsidRDefault="00826057">
                  <w:pPr>
                    <w:spacing w:line="240" w:lineRule="auto"/>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Открытый одноэтапный конкурс с предварительным квалификационным отбором на право заключения Договора на установку ТСО на ПС Хвойная, ПС Шаим, ПС Сухой Бор филиала ОАО «Тюменьэнерго» Урайские ЭС</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Установка ТСО на ПС Хвойная, ПС Шаим, ПС Сухой Бор филиала ОАО «Тюменьэнерго» Урайские ЭС</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4530645 </w:t>
                  </w:r>
                  <w:hyperlink r:id="rId12" w:history="1">
                    <w:r>
                      <w:rPr>
                        <w:rFonts w:ascii="Arial" w:hAnsi="Arial" w:cs="Arial"/>
                        <w:color w:val="1C50A4"/>
                        <w:sz w:val="18"/>
                        <w:szCs w:val="18"/>
                      </w:rPr>
                      <w:t>Установка электрических приборов</w:t>
                    </w:r>
                  </w:hyperlink>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4530630 </w:t>
                  </w:r>
                  <w:hyperlink r:id="rId13" w:history="1">
                    <w:r>
                      <w:rPr>
                        <w:rFonts w:ascii="Arial" w:hAnsi="Arial" w:cs="Arial"/>
                        <w:color w:val="1C50A4"/>
                        <w:sz w:val="18"/>
                        <w:szCs w:val="18"/>
                      </w:rPr>
                      <w:t>Монтаж электротехнических установок</w:t>
                    </w:r>
                  </w:hyperlink>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826057" w:rsidRDefault="00826057" w:rsidP="00826057">
                  <w:pPr>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21.9pt" o:ole="">
                        <v:imagedata r:id="rId14" o:title=""/>
                      </v:shape>
                      <w:control r:id="rId15" w:name="HTMLHidden1" w:shapeid="_x0000_i1026"/>
                    </w:object>
                  </w:r>
                  <w:r>
                    <w:rPr>
                      <w:rFonts w:ascii="Arial" w:hAnsi="Arial" w:cs="Arial"/>
                      <w:sz w:val="18"/>
                      <w:szCs w:val="18"/>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Конкурс (тендер) объявлен:</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27.02.2015 07:25</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826057" w:rsidRDefault="00826057">
                  <w:pPr>
                    <w:rPr>
                      <w:rFonts w:ascii="Arial" w:hAnsi="Arial" w:cs="Arial"/>
                      <w:sz w:val="18"/>
                      <w:szCs w:val="18"/>
                    </w:rPr>
                  </w:pPr>
                  <w:r>
                    <w:rPr>
                      <w:rFonts w:ascii="Arial" w:hAnsi="Arial" w:cs="Arial"/>
                      <w:b/>
                      <w:bCs/>
                      <w:sz w:val="18"/>
                      <w:szCs w:val="18"/>
                    </w:rPr>
                    <w:t>III квартал, 2015 Год</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628285, Ханты-Мансийский Автономный округ - Югра, г. Урай, мкр. Электросети</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628285, Ханты-Мансийский Автономный округ - Югра, г. Урай, мкр. Электросети</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Контактное лицо:</w:t>
                  </w:r>
                </w:p>
              </w:tc>
              <w:tc>
                <w:tcPr>
                  <w:tcW w:w="0" w:type="auto"/>
                  <w:shd w:val="clear" w:color="auto" w:fill="E9E9E9"/>
                  <w:hideMark/>
                </w:tcPr>
                <w:p w:rsidR="00826057" w:rsidRDefault="00D66F4E">
                  <w:pPr>
                    <w:rPr>
                      <w:rFonts w:ascii="Arial" w:hAnsi="Arial" w:cs="Arial"/>
                      <w:sz w:val="18"/>
                      <w:szCs w:val="18"/>
                    </w:rPr>
                  </w:pPr>
                  <w:hyperlink r:id="rId16" w:tgtFrame="_blank" w:tooltip="Отправить личное сообщение" w:history="1">
                    <w:r w:rsidR="00826057">
                      <w:rPr>
                        <w:rStyle w:val="userlinkmenu"/>
                        <w:rFonts w:ascii="Arial" w:hAnsi="Arial" w:cs="Arial"/>
                        <w:color w:val="1C50A4"/>
                        <w:sz w:val="18"/>
                        <w:szCs w:val="18"/>
                      </w:rPr>
                      <w:t>Окунцев Евгений Сергеевич</w:t>
                    </w:r>
                  </w:hyperlink>
                  <w:r w:rsidR="00826057">
                    <w:rPr>
                      <w:rFonts w:ascii="Arial" w:hAnsi="Arial" w:cs="Arial"/>
                      <w:sz w:val="18"/>
                      <w:szCs w:val="18"/>
                    </w:rPr>
                    <w:t xml:space="preserve">, тел.+7 (34676) 5-32-60, </w:t>
                  </w:r>
                  <w:hyperlink r:id="rId17" w:history="1">
                    <w:r w:rsidR="00826057">
                      <w:rPr>
                        <w:rFonts w:ascii="Arial" w:hAnsi="Arial" w:cs="Arial"/>
                        <w:color w:val="1C50A4"/>
                        <w:sz w:val="18"/>
                        <w:szCs w:val="18"/>
                      </w:rPr>
                      <w:t>OkuntsevES@yec.te.ru</w:t>
                    </w:r>
                  </w:hyperlink>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Назначена приказом ОАО "Тюменьэнерго" № 78 от 19.02.2015 г.</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Требования к участникам:</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Финансовое обеспечение участия в процедуре закупки в форме задатка в размере не менее 3 % от стоимости предложения с учетом налогов</w:t>
                  </w:r>
                  <w:r>
                    <w:rPr>
                      <w:rFonts w:ascii="Arial" w:hAnsi="Arial" w:cs="Arial"/>
                      <w:sz w:val="18"/>
                      <w:szCs w:val="18"/>
                    </w:rPr>
                    <w:br/>
                    <w:t>Финансовое обеспечение исполнения обязательств по договору (перечисление денежных средств) в размере не менее 3 %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Pr>
                      <w:rFonts w:ascii="Arial" w:hAnsi="Arial" w:cs="Arial"/>
                      <w:sz w:val="18"/>
                      <w:szCs w:val="18"/>
                    </w:rPr>
                    <w:br/>
                    <w:t xml:space="preserve">При отклонении цены Участника от начальной (максимальной) цены договора (цены лота) более, чем на 20% в сторону уменьшения, </w:t>
                  </w:r>
                  <w:r>
                    <w:rPr>
                      <w:rFonts w:ascii="Arial" w:hAnsi="Arial" w:cs="Arial"/>
                      <w:sz w:val="18"/>
                      <w:szCs w:val="18"/>
                    </w:rPr>
                    <w:lastRenderedPageBreak/>
                    <w:t>финансовое обеспечение исполнения обязательств по договору будет составлять 20 % от стоимости предложения с учетом налогов.</w:t>
                  </w:r>
                  <w:r>
                    <w:rPr>
                      <w:rFonts w:ascii="Arial" w:hAnsi="Arial" w:cs="Arial"/>
                      <w:sz w:val="18"/>
                      <w:szCs w:val="18"/>
                    </w:rPr>
                    <w:b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 xml:space="preserve">Работы выполняемые субподрядчиками/ соисполнителями/ субпоставщиками не должны превышать 50% от общего объема работ </w:t>
                  </w:r>
                  <w:r>
                    <w:rPr>
                      <w:rFonts w:ascii="Arial" w:hAnsi="Arial" w:cs="Arial"/>
                      <w:sz w:val="18"/>
                      <w:szCs w:val="18"/>
                    </w:rPr>
                    <w:br/>
                    <w:t>Участник должен обладать необходимыми кадровыми ресурсами: в соответствии с требованиями технического задания (Приложение № 1 к документации).</w:t>
                  </w:r>
                  <w:r>
                    <w:rPr>
                      <w:rFonts w:ascii="Arial" w:hAnsi="Arial" w:cs="Arial"/>
                      <w:sz w:val="18"/>
                      <w:szCs w:val="18"/>
                    </w:rPr>
                    <w:br/>
                    <w:t xml:space="preserve">Заявка Участника будет отклонена, в случае несоответствия установленным требованиям. </w:t>
                  </w:r>
                  <w:r>
                    <w:rPr>
                      <w:rFonts w:ascii="Arial" w:hAnsi="Arial" w:cs="Arial"/>
                      <w:sz w:val="18"/>
                      <w:szCs w:val="18"/>
                    </w:rPr>
                    <w:br/>
                    <w:t>Участник должен обладать необходимыми основными машинами и механизмами: в соответствии с требованиями технического задания (Приложение № 1 к документации).</w:t>
                  </w:r>
                  <w:r>
                    <w:rPr>
                      <w:rFonts w:ascii="Arial" w:hAnsi="Arial" w:cs="Arial"/>
                      <w:sz w:val="18"/>
                      <w:szCs w:val="18"/>
                    </w:rPr>
                    <w:br/>
                    <w:t>Заявка Участника будет отклонена, в случае несоответствия установленным требованиям.</w:t>
                  </w:r>
                  <w:r>
                    <w:rPr>
                      <w:rFonts w:ascii="Arial" w:hAnsi="Arial" w:cs="Arial"/>
                      <w:sz w:val="18"/>
                      <w:szCs w:val="18"/>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Pr>
                      <w:rFonts w:ascii="Arial" w:hAnsi="Arial" w:cs="Arial"/>
                      <w:sz w:val="18"/>
                      <w:szCs w:val="18"/>
                    </w:rPr>
                    <w:br/>
                    <w:t>Участник должен иметь устойчивое финансовое состояние. Показатель финансовой устойчивости- стоимость чистых активов (СЧА),который должен иметь значение &gt;0. 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Pr>
                      <w:rFonts w:ascii="Arial" w:hAnsi="Arial" w:cs="Arial"/>
                      <w:sz w:val="18"/>
                      <w:szCs w:val="18"/>
                    </w:rPr>
                    <w:br/>
                    <w:t xml:space="preserve">СЧА= стр.1600-стр.1400-стр.1500, </w:t>
                  </w:r>
                  <w:r>
                    <w:rPr>
                      <w:rFonts w:ascii="Arial" w:hAnsi="Arial" w:cs="Arial"/>
                      <w:sz w:val="18"/>
                      <w:szCs w:val="18"/>
                    </w:rPr>
                    <w:br/>
                    <w:t xml:space="preserve">при этом в расчет принимается стоимость фактически ликвидных активов (активы имеющие рыночную стоимость не ниже балансовой). </w:t>
                  </w:r>
                  <w:r>
                    <w:rPr>
                      <w:rFonts w:ascii="Arial" w:hAnsi="Arial" w:cs="Arial"/>
                      <w:sz w:val="18"/>
                      <w:szCs w:val="18"/>
                    </w:rPr>
                    <w:br/>
                    <w:t>Показатель финансовой устойчивости - коэффициент соизмеримости (КСВ), который должен иметь значение ≥ 0,5. 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Pr>
                      <w:rFonts w:ascii="Arial" w:hAnsi="Arial" w:cs="Arial"/>
                      <w:sz w:val="18"/>
                      <w:szCs w:val="18"/>
                    </w:rPr>
                    <w:br/>
                    <w:t>КСВ=(V/B)/(S/P),</w:t>
                  </w:r>
                  <w:r>
                    <w:rPr>
                      <w:rFonts w:ascii="Arial" w:hAnsi="Arial" w:cs="Arial"/>
                      <w:sz w:val="18"/>
                      <w:szCs w:val="18"/>
                    </w:rPr>
                    <w:br/>
                    <w:t>где V – сумма показателей выручки за последний завершенный период (год) и за текущий год на отчетную дату; Р – период выполнения обязательств по договору (в месяцах); В – количество месяцев в периоде, в котором сформирован показатель V; S – сумма договора (без НДС).</w:t>
                  </w:r>
                  <w:r>
                    <w:rPr>
                      <w:rFonts w:ascii="Arial" w:hAnsi="Arial" w:cs="Arial"/>
                      <w:sz w:val="18"/>
                      <w:szCs w:val="18"/>
                    </w:rPr>
                    <w:br/>
                    <w:t>Подробная информация указана в Методике оценки финансовой устойчивости Участников закупки (приложение 5 к Закупочной документации).</w:t>
                  </w:r>
                  <w:r>
                    <w:rPr>
                      <w:rFonts w:ascii="Arial" w:hAnsi="Arial" w:cs="Arial"/>
                      <w:sz w:val="18"/>
                      <w:szCs w:val="18"/>
                    </w:rPr>
                    <w:br/>
                    <w:t>Техническое и коммерческое предложения должны соответствовать требованиям Заказчика.</w:t>
                  </w:r>
                  <w:r>
                    <w:rPr>
                      <w:rFonts w:ascii="Arial" w:hAnsi="Arial" w:cs="Arial"/>
                      <w:sz w:val="18"/>
                      <w:szCs w:val="18"/>
                    </w:rPr>
                    <w:br/>
                    <w:t>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14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Pr>
                      <w:rFonts w:ascii="Arial" w:hAnsi="Arial" w:cs="Arial"/>
                      <w:sz w:val="18"/>
                      <w:szCs w:val="18"/>
                    </w:rPr>
                    <w:br/>
                    <w:t>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w:t>
                  </w:r>
                  <w:r>
                    <w:rPr>
                      <w:rFonts w:ascii="Arial" w:hAnsi="Arial" w:cs="Arial"/>
                      <w:sz w:val="18"/>
                      <w:szCs w:val="18"/>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Pr>
                      <w:rFonts w:ascii="Arial" w:hAnsi="Arial" w:cs="Arial"/>
                      <w:sz w:val="18"/>
                      <w:szCs w:val="18"/>
                    </w:rPr>
                    <w:br/>
                    <w:t>Требования к благонадежности Участника, членам коллективного Участника, субподрядчика (соисполнителя/субпоставщика)</w:t>
                  </w:r>
                  <w:r>
                    <w:rPr>
                      <w:rFonts w:ascii="Arial" w:hAnsi="Arial" w:cs="Arial"/>
                      <w:sz w:val="18"/>
                      <w:szCs w:val="18"/>
                    </w:rPr>
                    <w:br/>
                    <w:t xml:space="preserve">а) Участник должен дать согласие на проведение проверки благонадежности Службой экономической безопасности ОАО «Тюменьэнерго»; 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 в) деятельность </w:t>
                  </w:r>
                  <w:r>
                    <w:rPr>
                      <w:rFonts w:ascii="Arial" w:hAnsi="Arial" w:cs="Arial"/>
                      <w:sz w:val="18"/>
                      <w:szCs w:val="18"/>
                    </w:rPr>
                    <w:lastRenderedPageBreak/>
                    <w:t>Участника должна быть безубыточной за последний завершенный год; г) экономическая деятельность Участника не должна быть приостановлена в административном порядке; д) Участник не должен иметь задолженность по уплате налогов; е) на имущество Участника не должен быть наложен арест; 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 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 к) Участник не должен быть аффилирован к другим Участникам закупки; 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 м) отсутствие сведений о предстоящем исключении контрагента из ЕГРЮЛ/ЕГРИП; н) отсутствие фактов предоставления Участником недостоверных сведений и документов в рамках закупочной процедуры.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Pr>
                      <w:rFonts w:ascii="Arial" w:hAnsi="Arial" w:cs="Arial"/>
                      <w:sz w:val="18"/>
                      <w:szCs w:val="18"/>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lastRenderedPageBreak/>
                    <w:t>Предварительные квалификационные требования к участнику:</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Согласно требований документации.</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Крайний срок подачи предквалификационных документов:</w:t>
                  </w:r>
                </w:p>
              </w:tc>
              <w:tc>
                <w:tcPr>
                  <w:tcW w:w="0" w:type="auto"/>
                  <w:shd w:val="clear" w:color="auto" w:fill="E9E9E9"/>
                  <w:hideMark/>
                </w:tcPr>
                <w:p w:rsidR="00826057" w:rsidRDefault="00826057">
                  <w:pPr>
                    <w:rPr>
                      <w:rFonts w:ascii="Arial" w:hAnsi="Arial" w:cs="Arial"/>
                      <w:sz w:val="18"/>
                      <w:szCs w:val="18"/>
                    </w:rPr>
                  </w:pPr>
                  <w:r>
                    <w:rPr>
                      <w:rFonts w:ascii="Arial" w:hAnsi="Arial" w:cs="Arial"/>
                      <w:b/>
                      <w:bCs/>
                      <w:sz w:val="18"/>
                      <w:szCs w:val="18"/>
                    </w:rPr>
                    <w:t>19.03.2015 08:00</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Предквалификационная документация:</w:t>
                  </w:r>
                </w:p>
              </w:tc>
              <w:tc>
                <w:tcPr>
                  <w:tcW w:w="0" w:type="auto"/>
                  <w:shd w:val="clear" w:color="auto" w:fill="F7F7F7"/>
                  <w:hideMark/>
                </w:tcPr>
                <w:p w:rsidR="00826057" w:rsidRDefault="00D66F4E" w:rsidP="00826057">
                  <w:pPr>
                    <w:rPr>
                      <w:rFonts w:ascii="Arial" w:hAnsi="Arial" w:cs="Arial"/>
                      <w:sz w:val="18"/>
                      <w:szCs w:val="18"/>
                    </w:rPr>
                  </w:pPr>
                  <w:hyperlink r:id="rId18" w:tgtFrame="_blank" w:history="1">
                    <w:r w:rsidR="00826057">
                      <w:rPr>
                        <w:rFonts w:ascii="Arial" w:hAnsi="Arial" w:cs="Arial"/>
                        <w:color w:val="1C50A4"/>
                        <w:sz w:val="18"/>
                        <w:szCs w:val="18"/>
                      </w:rPr>
                      <w:t xml:space="preserve">Скачать файл </w:t>
                    </w:r>
                    <w:r w:rsidR="00826057">
                      <w:rPr>
                        <w:rFonts w:ascii="Arial" w:hAnsi="Arial" w:cs="Arial"/>
                        <w:b/>
                        <w:bCs/>
                        <w:color w:val="1C50A4"/>
                        <w:sz w:val="18"/>
                        <w:szCs w:val="18"/>
                      </w:rPr>
                      <w:t>ЗД предварит этап.docx</w:t>
                    </w:r>
                  </w:hyperlink>
                  <w:r w:rsidR="00826057">
                    <w:rPr>
                      <w:rFonts w:ascii="Arial" w:hAnsi="Arial" w:cs="Arial"/>
                      <w:sz w:val="18"/>
                      <w:szCs w:val="18"/>
                    </w:rPr>
                    <w:t> (10 Кб)</w:t>
                  </w:r>
                </w:p>
                <w:p w:rsidR="00826057" w:rsidRDefault="00D66F4E">
                  <w:pPr>
                    <w:rPr>
                      <w:rFonts w:ascii="Arial" w:hAnsi="Arial" w:cs="Arial"/>
                      <w:sz w:val="18"/>
                      <w:szCs w:val="18"/>
                    </w:rPr>
                  </w:pPr>
                  <w:hyperlink r:id="rId19" w:history="1">
                    <w:r w:rsidR="00826057">
                      <w:rPr>
                        <w:rFonts w:ascii="Arial" w:hAnsi="Arial" w:cs="Arial"/>
                        <w:b/>
                        <w:bCs/>
                        <w:color w:val="1C50A4"/>
                        <w:sz w:val="18"/>
                        <w:szCs w:val="18"/>
                      </w:rPr>
                      <w:t>Редактировать предквалификационную документацию</w:t>
                    </w:r>
                  </w:hyperlink>
                </w:p>
                <w:p w:rsidR="00826057" w:rsidRDefault="00D66F4E" w:rsidP="00826057">
                  <w:pPr>
                    <w:rPr>
                      <w:rFonts w:ascii="Arial" w:hAnsi="Arial" w:cs="Arial"/>
                      <w:sz w:val="18"/>
                      <w:szCs w:val="18"/>
                    </w:rPr>
                  </w:pPr>
                  <w:hyperlink r:id="rId20" w:tgtFrame="signature" w:history="1">
                    <w:r w:rsidR="00826057">
                      <w:rPr>
                        <w:rFonts w:ascii="Arial" w:hAnsi="Arial" w:cs="Arial"/>
                        <w:color w:val="1C50A4"/>
                        <w:sz w:val="18"/>
                        <w:szCs w:val="18"/>
                      </w:rPr>
                      <w:t>Подписана ЭП</w:t>
                    </w:r>
                  </w:hyperlink>
                </w:p>
                <w:p w:rsidR="00826057" w:rsidRDefault="00D66F4E" w:rsidP="00826057">
                  <w:pPr>
                    <w:rPr>
                      <w:rFonts w:ascii="Arial" w:hAnsi="Arial" w:cs="Arial"/>
                      <w:sz w:val="18"/>
                      <w:szCs w:val="18"/>
                    </w:rPr>
                  </w:pPr>
                  <w:hyperlink r:id="rId21" w:history="1">
                    <w:r w:rsidR="00826057">
                      <w:rPr>
                        <w:rFonts w:ascii="Arial" w:hAnsi="Arial" w:cs="Arial"/>
                        <w:color w:val="1C50A4"/>
                        <w:sz w:val="18"/>
                        <w:szCs w:val="18"/>
                      </w:rPr>
                      <w:t>Перевести документацию на другой язык</w:t>
                    </w:r>
                  </w:hyperlink>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Комплект конкурсной документации:</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Конкурсную документацию возможно получить на официальном сайте РФ – www.zakupki.gov.ru, электронной торговой площадке - http://www.b2b-MRSK.ru/</w:t>
                  </w:r>
                  <w:r>
                    <w:rPr>
                      <w:rFonts w:ascii="Arial" w:hAnsi="Arial" w:cs="Arial"/>
                      <w:sz w:val="18"/>
                      <w:szCs w:val="18"/>
                    </w:rPr>
                    <w:br/>
                    <w:t xml:space="preserve">Информация о закупке и конкурсная документация также размещена на </w:t>
                  </w:r>
                  <w:r>
                    <w:rPr>
                      <w:rFonts w:ascii="Arial" w:hAnsi="Arial" w:cs="Arial"/>
                      <w:sz w:val="18"/>
                      <w:szCs w:val="18"/>
                    </w:rPr>
                    <w:lastRenderedPageBreak/>
                    <w:t>сайте Заказчика по адресу: www.te.ru в разделе «Закупки» и доступна для ознакомления без взимания платы.</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lastRenderedPageBreak/>
                    <w:t>Конкурсная документация:</w:t>
                  </w:r>
                </w:p>
              </w:tc>
              <w:tc>
                <w:tcPr>
                  <w:tcW w:w="0" w:type="auto"/>
                  <w:shd w:val="clear" w:color="auto" w:fill="F7F7F7"/>
                  <w:hideMark/>
                </w:tcPr>
                <w:p w:rsidR="00826057" w:rsidRDefault="00D66F4E" w:rsidP="00826057">
                  <w:pPr>
                    <w:rPr>
                      <w:rFonts w:ascii="Arial" w:hAnsi="Arial" w:cs="Arial"/>
                      <w:sz w:val="18"/>
                      <w:szCs w:val="18"/>
                    </w:rPr>
                  </w:pPr>
                  <w:hyperlink r:id="rId22" w:tgtFrame="_blank" w:history="1">
                    <w:r w:rsidR="00826057">
                      <w:rPr>
                        <w:rFonts w:ascii="Arial" w:hAnsi="Arial" w:cs="Arial"/>
                        <w:color w:val="1C50A4"/>
                        <w:sz w:val="18"/>
                        <w:szCs w:val="18"/>
                      </w:rPr>
                      <w:t xml:space="preserve">Скачать файл </w:t>
                    </w:r>
                    <w:r w:rsidR="00826057">
                      <w:rPr>
                        <w:rFonts w:ascii="Arial" w:hAnsi="Arial" w:cs="Arial"/>
                        <w:b/>
                        <w:bCs/>
                        <w:color w:val="1C50A4"/>
                        <w:sz w:val="18"/>
                        <w:szCs w:val="18"/>
                      </w:rPr>
                      <w:t>04 КД Установка ТСО.7z</w:t>
                    </w:r>
                  </w:hyperlink>
                  <w:r w:rsidR="00826057">
                    <w:rPr>
                      <w:rFonts w:ascii="Arial" w:hAnsi="Arial" w:cs="Arial"/>
                      <w:sz w:val="18"/>
                      <w:szCs w:val="18"/>
                    </w:rPr>
                    <w:t> (8.8 Мб)</w:t>
                  </w:r>
                </w:p>
                <w:p w:rsidR="00826057" w:rsidRDefault="00D66F4E">
                  <w:pPr>
                    <w:rPr>
                      <w:rFonts w:ascii="Arial" w:hAnsi="Arial" w:cs="Arial"/>
                      <w:sz w:val="18"/>
                      <w:szCs w:val="18"/>
                    </w:rPr>
                  </w:pPr>
                  <w:hyperlink r:id="rId23" w:history="1">
                    <w:r w:rsidR="00826057">
                      <w:rPr>
                        <w:rFonts w:ascii="Arial" w:hAnsi="Arial" w:cs="Arial"/>
                        <w:b/>
                        <w:bCs/>
                        <w:color w:val="1C50A4"/>
                        <w:sz w:val="18"/>
                        <w:szCs w:val="18"/>
                      </w:rPr>
                      <w:t>Редактировать конкурсную документацию</w:t>
                    </w:r>
                  </w:hyperlink>
                </w:p>
                <w:p w:rsidR="00826057" w:rsidRDefault="00D66F4E" w:rsidP="00826057">
                  <w:pPr>
                    <w:rPr>
                      <w:rFonts w:ascii="Arial" w:hAnsi="Arial" w:cs="Arial"/>
                      <w:sz w:val="18"/>
                      <w:szCs w:val="18"/>
                    </w:rPr>
                  </w:pPr>
                  <w:hyperlink r:id="rId24" w:tgtFrame="signature" w:history="1">
                    <w:r w:rsidR="00826057">
                      <w:rPr>
                        <w:rFonts w:ascii="Arial" w:hAnsi="Arial" w:cs="Arial"/>
                        <w:color w:val="1C50A4"/>
                        <w:sz w:val="18"/>
                        <w:szCs w:val="18"/>
                      </w:rPr>
                      <w:t>Подписана ЭП</w:t>
                    </w:r>
                  </w:hyperlink>
                </w:p>
                <w:p w:rsidR="00826057" w:rsidRDefault="00D66F4E" w:rsidP="00826057">
                  <w:pPr>
                    <w:rPr>
                      <w:rFonts w:ascii="Arial" w:hAnsi="Arial" w:cs="Arial"/>
                      <w:sz w:val="18"/>
                      <w:szCs w:val="18"/>
                    </w:rPr>
                  </w:pPr>
                  <w:hyperlink r:id="rId25" w:history="1">
                    <w:r w:rsidR="00826057">
                      <w:rPr>
                        <w:rFonts w:ascii="Arial" w:hAnsi="Arial" w:cs="Arial"/>
                        <w:color w:val="1C50A4"/>
                        <w:sz w:val="18"/>
                        <w:szCs w:val="18"/>
                      </w:rPr>
                      <w:t>Перевести документацию на другой язык</w:t>
                    </w:r>
                  </w:hyperlink>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Цена с НДС</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Дата вскрытия конвертов (крайний срок подачи конкурсных заявок):</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17.04.2015 в 07:00 по московскому времени</w:t>
                  </w:r>
                  <w:r>
                    <w:rPr>
                      <w:rFonts w:ascii="Arial" w:hAnsi="Arial" w:cs="Arial"/>
                      <w:sz w:val="18"/>
                      <w:szCs w:val="18"/>
                    </w:rPr>
                    <w:t>.</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Дата рассмотрения предложений:</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27.04.2015 13:00</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628285, Ханты-Мансийский Автономный округ - Югра, г. Урай, мкр. Электросети</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07.05.2015 00:00</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Место подведения итогов:</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628285, Ханты-Мансийский Автономный округ - Югра, г. Урай, мкр. Электросети</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Pr>
                      <w:rFonts w:ascii="Arial" w:hAnsi="Arial" w:cs="Arial"/>
                      <w:sz w:val="18"/>
                      <w:szCs w:val="18"/>
                    </w:rPr>
                    <w:br/>
                  </w:r>
                  <w:r>
                    <w:rPr>
                      <w:rFonts w:ascii="Arial" w:hAnsi="Arial" w:cs="Arial"/>
                      <w:sz w:val="18"/>
                      <w:szCs w:val="18"/>
                    </w:rPr>
                    <w:lastRenderedPageBreak/>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lastRenderedPageBreak/>
                    <w:t>Лимитная (начальная) цена закупки:</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Лот № 1. 7 804 381,10 руб. (цена с НДС)</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Переторжка (регулирование цены):</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Поставщик не должен находится в реестре недобросовестных поставщиков:</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Да</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E9E9E9"/>
                  <w:hideMark/>
                </w:tcPr>
                <w:p w:rsidR="00826057" w:rsidRDefault="00826057">
                  <w:pPr>
                    <w:rPr>
                      <w:rFonts w:ascii="Arial" w:hAnsi="Arial" w:cs="Arial"/>
                      <w:sz w:val="18"/>
                      <w:szCs w:val="18"/>
                    </w:rPr>
                  </w:pPr>
                  <w:r>
                    <w:rPr>
                      <w:rFonts w:ascii="Arial"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t>Подробная информация с указанием объема выполняемых работ указана в приложениях №1, № 2 к конкурсной документации «Техническое задание», «Проект договора».</w:t>
                  </w:r>
                  <w:r>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hAnsi="Arial" w:cs="Arial"/>
                      <w:sz w:val="18"/>
                      <w:szCs w:val="18"/>
                    </w:rPr>
                    <w:br/>
                    <w:t>Дополнительная информация о Конкурсе может быть получена:</w:t>
                  </w:r>
                  <w:r>
                    <w:rPr>
                      <w:rFonts w:ascii="Arial" w:hAnsi="Arial" w:cs="Arial"/>
                      <w:sz w:val="18"/>
                      <w:szCs w:val="18"/>
                    </w:rPr>
                    <w:br/>
                    <w:t>по организационным вопросам:</w:t>
                  </w:r>
                  <w:r>
                    <w:rPr>
                      <w:rFonts w:ascii="Arial" w:hAnsi="Arial" w:cs="Arial"/>
                      <w:sz w:val="18"/>
                      <w:szCs w:val="18"/>
                    </w:rPr>
                    <w:br/>
                    <w:t xml:space="preserve">Окунцев Евгений Сергеевич телефон (34676) 5-32-60, </w:t>
                  </w:r>
                  <w:r>
                    <w:rPr>
                      <w:rFonts w:ascii="Arial" w:hAnsi="Arial" w:cs="Arial"/>
                      <w:sz w:val="18"/>
                      <w:szCs w:val="18"/>
                    </w:rPr>
                    <w:br/>
                    <w:t xml:space="preserve">по техническим вопросам: </w:t>
                  </w:r>
                  <w:r>
                    <w:rPr>
                      <w:rFonts w:ascii="Arial" w:hAnsi="Arial" w:cs="Arial"/>
                      <w:sz w:val="18"/>
                      <w:szCs w:val="18"/>
                    </w:rPr>
                    <w:br/>
                    <w:t>Купцов Александр Иванович</w:t>
                  </w:r>
                  <w:r>
                    <w:rPr>
                      <w:rFonts w:ascii="Arial" w:hAnsi="Arial" w:cs="Arial"/>
                      <w:sz w:val="18"/>
                      <w:szCs w:val="18"/>
                    </w:rPr>
                    <w:br/>
                    <w:t>телефон: (34676) 5-33-12.</w:t>
                  </w: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826057" w:rsidRDefault="00D66F4E">
                  <w:pPr>
                    <w:rPr>
                      <w:rFonts w:ascii="Arial" w:hAnsi="Arial" w:cs="Arial"/>
                      <w:sz w:val="18"/>
                      <w:szCs w:val="18"/>
                    </w:rPr>
                  </w:pPr>
                  <w:hyperlink w:history="1">
                    <w:r w:rsidR="00826057">
                      <w:rPr>
                        <w:rFonts w:ascii="Arial" w:hAnsi="Arial" w:cs="Arial"/>
                        <w:color w:val="1C50A4"/>
                        <w:sz w:val="18"/>
                        <w:szCs w:val="18"/>
                      </w:rPr>
                      <w:t>628285, Ханты-Мансийский Автономный округ - Югра, г. Урай, мкр. Электросети</w:t>
                    </w:r>
                  </w:hyperlink>
                  <w:r w:rsidR="00826057">
                    <w:rPr>
                      <w:rFonts w:ascii="Arial" w:hAnsi="Arial" w:cs="Arial"/>
                      <w:sz w:val="18"/>
                      <w:szCs w:val="18"/>
                    </w:rPr>
                    <w:t xml:space="preserve"> </w:t>
                  </w:r>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3260"/>
                  </w:tblGrid>
                  <w:tr w:rsidR="00826057">
                    <w:trPr>
                      <w:tblCellSpacing w:w="15" w:type="dxa"/>
                    </w:trPr>
                    <w:tc>
                      <w:tcPr>
                        <w:tcW w:w="3750" w:type="dxa"/>
                        <w:tcMar>
                          <w:top w:w="45" w:type="dxa"/>
                          <w:left w:w="45" w:type="dxa"/>
                          <w:bottom w:w="45" w:type="dxa"/>
                          <w:right w:w="45" w:type="dxa"/>
                        </w:tcMar>
                        <w:hideMark/>
                      </w:tcPr>
                      <w:p w:rsidR="00826057" w:rsidRDefault="00826057">
                        <w:pPr>
                          <w:rPr>
                            <w:rFonts w:ascii="Arial" w:hAnsi="Arial" w:cs="Arial"/>
                            <w:sz w:val="18"/>
                            <w:szCs w:val="18"/>
                          </w:rPr>
                        </w:pPr>
                        <w:r>
                          <w:rPr>
                            <w:rFonts w:ascii="Arial" w:hAnsi="Arial" w:cs="Arial"/>
                            <w:b/>
                            <w:bCs/>
                            <w:sz w:val="18"/>
                            <w:szCs w:val="18"/>
                          </w:rPr>
                          <w:t>Извещение [</w:t>
                        </w:r>
                        <w:hyperlink r:id="rId26" w:history="1">
                          <w:r>
                            <w:rPr>
                              <w:rFonts w:ascii="Arial" w:hAnsi="Arial" w:cs="Arial"/>
                              <w:b/>
                              <w:bCs/>
                              <w:color w:val="1C50A4"/>
                              <w:sz w:val="18"/>
                              <w:szCs w:val="18"/>
                            </w:rPr>
                            <w:t>XML</w:t>
                          </w:r>
                        </w:hyperlink>
                        <w:r>
                          <w:rPr>
                            <w:rFonts w:ascii="Arial" w:hAnsi="Arial" w:cs="Arial"/>
                            <w:b/>
                            <w:bCs/>
                            <w:sz w:val="18"/>
                            <w:szCs w:val="18"/>
                          </w:rPr>
                          <w:t xml:space="preserve">] </w:t>
                        </w:r>
                      </w:p>
                      <w:p w:rsidR="00826057" w:rsidRDefault="00826057">
                        <w:pPr>
                          <w:pStyle w:val="a5"/>
                          <w:rPr>
                            <w:rFonts w:ascii="Arial" w:hAnsi="Arial" w:cs="Arial"/>
                            <w:sz w:val="18"/>
                            <w:szCs w:val="18"/>
                          </w:rPr>
                        </w:pPr>
                        <w:r>
                          <w:rPr>
                            <w:rFonts w:ascii="Arial" w:hAnsi="Arial" w:cs="Arial"/>
                            <w:sz w:val="18"/>
                            <w:szCs w:val="18"/>
                          </w:rPr>
                          <w:t>Процедура еще не была выгружена.</w:t>
                        </w:r>
                        <w:r>
                          <w:rPr>
                            <w:rFonts w:ascii="Arial" w:hAnsi="Arial" w:cs="Arial"/>
                            <w:sz w:val="18"/>
                            <w:szCs w:val="18"/>
                          </w:rPr>
                          <w:br/>
                        </w:r>
                        <w:r>
                          <w:rPr>
                            <w:rFonts w:ascii="Arial" w:hAnsi="Arial" w:cs="Arial"/>
                            <w:color w:val="CC9300"/>
                            <w:sz w:val="18"/>
                            <w:szCs w:val="18"/>
                          </w:rPr>
                          <w:t>Ожидает выгрузки в очереди.</w:t>
                        </w:r>
                        <w:r>
                          <w:rPr>
                            <w:rFonts w:ascii="Arial" w:hAnsi="Arial" w:cs="Arial"/>
                            <w:sz w:val="18"/>
                            <w:szCs w:val="18"/>
                          </w:rPr>
                          <w:br/>
                        </w:r>
                        <w:r>
                          <w:rPr>
                            <w:rStyle w:val="imp1"/>
                            <w:rFonts w:ascii="Arial" w:hAnsi="Arial" w:cs="Arial"/>
                            <w:sz w:val="18"/>
                            <w:szCs w:val="18"/>
                          </w:rPr>
                          <w:t>Процедуру невозможно выгрузить, так как для нее не задан код способа закупки.</w:t>
                        </w:r>
                      </w:p>
                    </w:tc>
                    <w:tc>
                      <w:tcPr>
                        <w:tcW w:w="3750" w:type="dxa"/>
                        <w:tcMar>
                          <w:top w:w="45" w:type="dxa"/>
                          <w:left w:w="45" w:type="dxa"/>
                          <w:bottom w:w="45" w:type="dxa"/>
                          <w:right w:w="45" w:type="dxa"/>
                        </w:tcMar>
                        <w:hideMark/>
                      </w:tcPr>
                      <w:p w:rsidR="00826057" w:rsidRDefault="00826057">
                        <w:pPr>
                          <w:rPr>
                            <w:rFonts w:ascii="Arial" w:hAnsi="Arial" w:cs="Arial"/>
                            <w:sz w:val="18"/>
                            <w:szCs w:val="18"/>
                          </w:rPr>
                        </w:pPr>
                        <w:r>
                          <w:rPr>
                            <w:rFonts w:ascii="Arial" w:hAnsi="Arial" w:cs="Arial"/>
                            <w:b/>
                            <w:bCs/>
                            <w:sz w:val="18"/>
                            <w:szCs w:val="18"/>
                          </w:rPr>
                          <w:t>Протоколы</w:t>
                        </w:r>
                      </w:p>
                      <w:p w:rsidR="00826057" w:rsidRDefault="00826057">
                        <w:pPr>
                          <w:pStyle w:val="gray-text"/>
                          <w:rPr>
                            <w:rFonts w:ascii="Arial" w:hAnsi="Arial" w:cs="Arial"/>
                            <w:sz w:val="18"/>
                            <w:szCs w:val="18"/>
                          </w:rPr>
                        </w:pPr>
                        <w:r>
                          <w:rPr>
                            <w:rFonts w:ascii="Arial" w:hAnsi="Arial" w:cs="Arial"/>
                            <w:sz w:val="18"/>
                            <w:szCs w:val="18"/>
                          </w:rPr>
                          <w:t>Протоколы отсутствуют</w:t>
                        </w:r>
                      </w:p>
                    </w:tc>
                  </w:tr>
                </w:tbl>
                <w:p w:rsidR="00826057" w:rsidRDefault="00826057">
                  <w:pPr>
                    <w:rPr>
                      <w:rFonts w:ascii="Arial" w:hAnsi="Arial" w:cs="Arial"/>
                      <w:sz w:val="18"/>
                      <w:szCs w:val="18"/>
                    </w:rPr>
                  </w:pPr>
                </w:p>
              </w:tc>
            </w:tr>
            <w:tr w:rsidR="00826057">
              <w:trPr>
                <w:tblCellSpacing w:w="0" w:type="dxa"/>
              </w:trPr>
              <w:tc>
                <w:tcPr>
                  <w:tcW w:w="0" w:type="auto"/>
                  <w:shd w:val="clear" w:color="auto" w:fill="F7F7F7"/>
                  <w:hideMark/>
                </w:tcPr>
                <w:p w:rsidR="00826057" w:rsidRDefault="00826057">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826057" w:rsidRDefault="00826057">
                  <w:pPr>
                    <w:rPr>
                      <w:rFonts w:ascii="Arial" w:hAnsi="Arial" w:cs="Arial"/>
                      <w:sz w:val="18"/>
                      <w:szCs w:val="18"/>
                    </w:rPr>
                  </w:pPr>
                  <w:r>
                    <w:rPr>
                      <w:rFonts w:ascii="Arial" w:hAnsi="Arial" w:cs="Arial"/>
                      <w:sz w:val="18"/>
                      <w:szCs w:val="18"/>
                    </w:rPr>
                    <w:t xml:space="preserve">27.02.2015 07:23, </w:t>
                  </w:r>
                  <w:hyperlink r:id="rId27" w:tgtFrame="_blank" w:tooltip="Отправить личное сообщение" w:history="1">
                    <w:r>
                      <w:rPr>
                        <w:rStyle w:val="userlinkmenu"/>
                        <w:rFonts w:ascii="Arial" w:hAnsi="Arial" w:cs="Arial"/>
                        <w:color w:val="1C50A4"/>
                        <w:sz w:val="18"/>
                        <w:szCs w:val="18"/>
                      </w:rPr>
                      <w:t>Окунцев Евгений Сергеевич</w:t>
                    </w:r>
                  </w:hyperlink>
                </w:p>
              </w:tc>
            </w:tr>
            <w:tr w:rsidR="00826057">
              <w:trPr>
                <w:tblCellSpacing w:w="0" w:type="dxa"/>
              </w:trPr>
              <w:tc>
                <w:tcPr>
                  <w:tcW w:w="0" w:type="auto"/>
                  <w:shd w:val="clear" w:color="auto" w:fill="E9E9E9"/>
                  <w:hideMark/>
                </w:tcPr>
                <w:p w:rsidR="00826057" w:rsidRDefault="00826057">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826057" w:rsidRDefault="00D66F4E">
                  <w:pPr>
                    <w:rPr>
                      <w:rFonts w:ascii="Arial" w:hAnsi="Arial" w:cs="Arial"/>
                      <w:sz w:val="18"/>
                      <w:szCs w:val="18"/>
                    </w:rPr>
                  </w:pPr>
                  <w:hyperlink r:id="rId28" w:tgtFrame="signature" w:history="1">
                    <w:r w:rsidR="00826057">
                      <w:rPr>
                        <w:rFonts w:ascii="Arial" w:hAnsi="Arial" w:cs="Arial"/>
                        <w:color w:val="1C50A4"/>
                        <w:sz w:val="18"/>
                        <w:szCs w:val="18"/>
                      </w:rPr>
                      <w:t>Подписано ЭП</w:t>
                    </w:r>
                  </w:hyperlink>
                </w:p>
              </w:tc>
            </w:tr>
          </w:tbl>
          <w:p w:rsidR="00826057" w:rsidRDefault="00826057">
            <w:pPr>
              <w:rPr>
                <w:rFonts w:ascii="Arial" w:hAnsi="Arial" w:cs="Arial"/>
                <w:sz w:val="18"/>
                <w:szCs w:val="18"/>
              </w:rPr>
            </w:pPr>
          </w:p>
        </w:tc>
      </w:tr>
    </w:tbl>
    <w:p w:rsidR="00E812E8" w:rsidRPr="00826057" w:rsidRDefault="00E812E8" w:rsidP="00826057"/>
    <w:sectPr w:rsidR="00E812E8" w:rsidRPr="00826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64899"/>
    <w:multiLevelType w:val="multilevel"/>
    <w:tmpl w:val="D4D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FF"/>
    <w:rsid w:val="005B5527"/>
    <w:rsid w:val="00826057"/>
    <w:rsid w:val="00D66F4E"/>
    <w:rsid w:val="00E812E8"/>
    <w:rsid w:val="00F0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02B9980-E945-4C64-81DB-4953C065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552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52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B5527"/>
    <w:rPr>
      <w:strike w:val="0"/>
      <w:dstrike w:val="0"/>
      <w:color w:val="1C50A4"/>
      <w:u w:val="none"/>
      <w:effect w:val="none"/>
    </w:rPr>
  </w:style>
  <w:style w:type="character" w:styleId="a4">
    <w:name w:val="Strong"/>
    <w:basedOn w:val="a0"/>
    <w:uiPriority w:val="22"/>
    <w:qFormat/>
    <w:rsid w:val="005B5527"/>
    <w:rPr>
      <w:b/>
      <w:bCs/>
    </w:rPr>
  </w:style>
  <w:style w:type="paragraph" w:styleId="a5">
    <w:name w:val="Normal (Web)"/>
    <w:basedOn w:val="a"/>
    <w:uiPriority w:val="99"/>
    <w:semiHidden/>
    <w:unhideWhenUsed/>
    <w:rsid w:val="005B5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B552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5B5527"/>
    <w:rPr>
      <w:color w:val="A0A0A0"/>
      <w:sz w:val="18"/>
      <w:szCs w:val="18"/>
    </w:rPr>
  </w:style>
  <w:style w:type="character" w:customStyle="1" w:styleId="imp1">
    <w:name w:val="imp1"/>
    <w:basedOn w:val="a0"/>
    <w:rsid w:val="005B5527"/>
    <w:rPr>
      <w:color w:val="FF0000"/>
    </w:rPr>
  </w:style>
  <w:style w:type="character" w:customStyle="1" w:styleId="userlinkmenu">
    <w:name w:val="userlink_menu"/>
    <w:basedOn w:val="a0"/>
    <w:rsid w:val="005B5527"/>
  </w:style>
  <w:style w:type="paragraph" w:customStyle="1" w:styleId="gray-text">
    <w:name w:val="gray-text"/>
    <w:basedOn w:val="a"/>
    <w:rsid w:val="008260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58364">
      <w:bodyDiv w:val="1"/>
      <w:marLeft w:val="0"/>
      <w:marRight w:val="0"/>
      <w:marTop w:val="0"/>
      <w:marBottom w:val="0"/>
      <w:divBdr>
        <w:top w:val="none" w:sz="0" w:space="0" w:color="auto"/>
        <w:left w:val="none" w:sz="0" w:space="0" w:color="auto"/>
        <w:bottom w:val="none" w:sz="0" w:space="0" w:color="auto"/>
        <w:right w:val="none" w:sz="0" w:space="0" w:color="auto"/>
      </w:divBdr>
      <w:divsChild>
        <w:div w:id="2097550037">
          <w:marLeft w:val="0"/>
          <w:marRight w:val="0"/>
          <w:marTop w:val="0"/>
          <w:marBottom w:val="0"/>
          <w:divBdr>
            <w:top w:val="none" w:sz="0" w:space="0" w:color="auto"/>
            <w:left w:val="none" w:sz="0" w:space="0" w:color="auto"/>
            <w:bottom w:val="none" w:sz="0" w:space="0" w:color="auto"/>
            <w:right w:val="none" w:sz="0" w:space="0" w:color="auto"/>
          </w:divBdr>
        </w:div>
        <w:div w:id="354439">
          <w:marLeft w:val="0"/>
          <w:marRight w:val="15"/>
          <w:marTop w:val="0"/>
          <w:marBottom w:val="30"/>
          <w:divBdr>
            <w:top w:val="none" w:sz="0" w:space="0" w:color="auto"/>
            <w:left w:val="none" w:sz="0" w:space="0" w:color="auto"/>
            <w:bottom w:val="none" w:sz="0" w:space="0" w:color="auto"/>
            <w:right w:val="none" w:sz="0" w:space="0" w:color="auto"/>
          </w:divBdr>
        </w:div>
        <w:div w:id="765199377">
          <w:marLeft w:val="0"/>
          <w:marRight w:val="15"/>
          <w:marTop w:val="0"/>
          <w:marBottom w:val="30"/>
          <w:divBdr>
            <w:top w:val="none" w:sz="0" w:space="0" w:color="auto"/>
            <w:left w:val="none" w:sz="0" w:space="0" w:color="auto"/>
            <w:bottom w:val="none" w:sz="0" w:space="0" w:color="auto"/>
            <w:right w:val="none" w:sz="0" w:space="0" w:color="auto"/>
          </w:divBdr>
        </w:div>
        <w:div w:id="2046639824">
          <w:marLeft w:val="0"/>
          <w:marRight w:val="15"/>
          <w:marTop w:val="0"/>
          <w:marBottom w:val="30"/>
          <w:divBdr>
            <w:top w:val="none" w:sz="0" w:space="0" w:color="auto"/>
            <w:left w:val="none" w:sz="0" w:space="0" w:color="auto"/>
            <w:bottom w:val="none" w:sz="0" w:space="0" w:color="auto"/>
            <w:right w:val="none" w:sz="0" w:space="0" w:color="auto"/>
          </w:divBdr>
        </w:div>
        <w:div w:id="1532645190">
          <w:marLeft w:val="0"/>
          <w:marRight w:val="15"/>
          <w:marTop w:val="0"/>
          <w:marBottom w:val="30"/>
          <w:divBdr>
            <w:top w:val="none" w:sz="0" w:space="0" w:color="auto"/>
            <w:left w:val="none" w:sz="0" w:space="0" w:color="auto"/>
            <w:bottom w:val="none" w:sz="0" w:space="0" w:color="auto"/>
            <w:right w:val="none" w:sz="0" w:space="0" w:color="auto"/>
          </w:divBdr>
        </w:div>
        <w:div w:id="1658337617">
          <w:marLeft w:val="0"/>
          <w:marRight w:val="15"/>
          <w:marTop w:val="0"/>
          <w:marBottom w:val="30"/>
          <w:divBdr>
            <w:top w:val="none" w:sz="0" w:space="0" w:color="auto"/>
            <w:left w:val="none" w:sz="0" w:space="0" w:color="auto"/>
            <w:bottom w:val="none" w:sz="0" w:space="0" w:color="auto"/>
            <w:right w:val="none" w:sz="0" w:space="0" w:color="auto"/>
          </w:divBdr>
        </w:div>
        <w:div w:id="817112052">
          <w:marLeft w:val="0"/>
          <w:marRight w:val="0"/>
          <w:marTop w:val="0"/>
          <w:marBottom w:val="0"/>
          <w:divBdr>
            <w:top w:val="none" w:sz="0" w:space="0" w:color="auto"/>
            <w:left w:val="none" w:sz="0" w:space="0" w:color="auto"/>
            <w:bottom w:val="none" w:sz="0" w:space="0" w:color="auto"/>
            <w:right w:val="none" w:sz="0" w:space="0" w:color="auto"/>
          </w:divBdr>
          <w:divsChild>
            <w:div w:id="1991670664">
              <w:marLeft w:val="0"/>
              <w:marRight w:val="0"/>
              <w:marTop w:val="0"/>
              <w:marBottom w:val="0"/>
              <w:divBdr>
                <w:top w:val="none" w:sz="0" w:space="0" w:color="auto"/>
                <w:left w:val="none" w:sz="0" w:space="0" w:color="auto"/>
                <w:bottom w:val="none" w:sz="0" w:space="0" w:color="auto"/>
                <w:right w:val="none" w:sz="0" w:space="0" w:color="auto"/>
              </w:divBdr>
            </w:div>
          </w:divsChild>
        </w:div>
        <w:div w:id="1613052715">
          <w:marLeft w:val="0"/>
          <w:marRight w:val="0"/>
          <w:marTop w:val="0"/>
          <w:marBottom w:val="0"/>
          <w:divBdr>
            <w:top w:val="none" w:sz="0" w:space="0" w:color="auto"/>
            <w:left w:val="none" w:sz="0" w:space="0" w:color="auto"/>
            <w:bottom w:val="none" w:sz="0" w:space="0" w:color="auto"/>
            <w:right w:val="none" w:sz="0" w:space="0" w:color="auto"/>
          </w:divBdr>
        </w:div>
        <w:div w:id="1731732327">
          <w:marLeft w:val="0"/>
          <w:marRight w:val="0"/>
          <w:marTop w:val="0"/>
          <w:marBottom w:val="0"/>
          <w:divBdr>
            <w:top w:val="none" w:sz="0" w:space="0" w:color="auto"/>
            <w:left w:val="none" w:sz="0" w:space="0" w:color="auto"/>
            <w:bottom w:val="none" w:sz="0" w:space="0" w:color="auto"/>
            <w:right w:val="none" w:sz="0" w:space="0" w:color="auto"/>
          </w:divBdr>
        </w:div>
        <w:div w:id="1088386210">
          <w:marLeft w:val="0"/>
          <w:marRight w:val="0"/>
          <w:marTop w:val="0"/>
          <w:marBottom w:val="0"/>
          <w:divBdr>
            <w:top w:val="none" w:sz="0" w:space="0" w:color="auto"/>
            <w:left w:val="none" w:sz="0" w:space="0" w:color="auto"/>
            <w:bottom w:val="none" w:sz="0" w:space="0" w:color="auto"/>
            <w:right w:val="none" w:sz="0" w:space="0" w:color="auto"/>
          </w:divBdr>
        </w:div>
        <w:div w:id="79646462">
          <w:marLeft w:val="0"/>
          <w:marRight w:val="0"/>
          <w:marTop w:val="0"/>
          <w:marBottom w:val="0"/>
          <w:divBdr>
            <w:top w:val="none" w:sz="0" w:space="0" w:color="auto"/>
            <w:left w:val="none" w:sz="0" w:space="0" w:color="auto"/>
            <w:bottom w:val="none" w:sz="0" w:space="0" w:color="auto"/>
            <w:right w:val="none" w:sz="0" w:space="0" w:color="auto"/>
          </w:divBdr>
        </w:div>
        <w:div w:id="130564189">
          <w:marLeft w:val="0"/>
          <w:marRight w:val="0"/>
          <w:marTop w:val="0"/>
          <w:marBottom w:val="0"/>
          <w:divBdr>
            <w:top w:val="none" w:sz="0" w:space="0" w:color="auto"/>
            <w:left w:val="none" w:sz="0" w:space="0" w:color="auto"/>
            <w:bottom w:val="none" w:sz="0" w:space="0" w:color="auto"/>
            <w:right w:val="none" w:sz="0" w:space="0" w:color="auto"/>
          </w:divBdr>
        </w:div>
        <w:div w:id="1032458320">
          <w:marLeft w:val="0"/>
          <w:marRight w:val="0"/>
          <w:marTop w:val="0"/>
          <w:marBottom w:val="0"/>
          <w:divBdr>
            <w:top w:val="none" w:sz="0" w:space="0" w:color="auto"/>
            <w:left w:val="none" w:sz="0" w:space="0" w:color="auto"/>
            <w:bottom w:val="none" w:sz="0" w:space="0" w:color="auto"/>
            <w:right w:val="none" w:sz="0" w:space="0" w:color="auto"/>
          </w:divBdr>
        </w:div>
      </w:divsChild>
    </w:div>
    <w:div w:id="1595941199">
      <w:bodyDiv w:val="1"/>
      <w:marLeft w:val="0"/>
      <w:marRight w:val="0"/>
      <w:marTop w:val="0"/>
      <w:marBottom w:val="0"/>
      <w:divBdr>
        <w:top w:val="none" w:sz="0" w:space="0" w:color="auto"/>
        <w:left w:val="none" w:sz="0" w:space="0" w:color="auto"/>
        <w:bottom w:val="none" w:sz="0" w:space="0" w:color="auto"/>
        <w:right w:val="none" w:sz="0" w:space="0" w:color="auto"/>
      </w:divBdr>
      <w:divsChild>
        <w:div w:id="2011447867">
          <w:marLeft w:val="0"/>
          <w:marRight w:val="0"/>
          <w:marTop w:val="0"/>
          <w:marBottom w:val="0"/>
          <w:divBdr>
            <w:top w:val="none" w:sz="0" w:space="0" w:color="auto"/>
            <w:left w:val="none" w:sz="0" w:space="0" w:color="auto"/>
            <w:bottom w:val="none" w:sz="0" w:space="0" w:color="auto"/>
            <w:right w:val="none" w:sz="0" w:space="0" w:color="auto"/>
          </w:divBdr>
        </w:div>
        <w:div w:id="2037539821">
          <w:marLeft w:val="0"/>
          <w:marRight w:val="15"/>
          <w:marTop w:val="0"/>
          <w:marBottom w:val="30"/>
          <w:divBdr>
            <w:top w:val="none" w:sz="0" w:space="0" w:color="auto"/>
            <w:left w:val="none" w:sz="0" w:space="0" w:color="auto"/>
            <w:bottom w:val="none" w:sz="0" w:space="0" w:color="auto"/>
            <w:right w:val="none" w:sz="0" w:space="0" w:color="auto"/>
          </w:divBdr>
        </w:div>
        <w:div w:id="339549312">
          <w:marLeft w:val="0"/>
          <w:marRight w:val="15"/>
          <w:marTop w:val="0"/>
          <w:marBottom w:val="30"/>
          <w:divBdr>
            <w:top w:val="none" w:sz="0" w:space="0" w:color="auto"/>
            <w:left w:val="none" w:sz="0" w:space="0" w:color="auto"/>
            <w:bottom w:val="none" w:sz="0" w:space="0" w:color="auto"/>
            <w:right w:val="none" w:sz="0" w:space="0" w:color="auto"/>
          </w:divBdr>
        </w:div>
        <w:div w:id="1963613090">
          <w:marLeft w:val="0"/>
          <w:marRight w:val="15"/>
          <w:marTop w:val="0"/>
          <w:marBottom w:val="30"/>
          <w:divBdr>
            <w:top w:val="none" w:sz="0" w:space="0" w:color="auto"/>
            <w:left w:val="none" w:sz="0" w:space="0" w:color="auto"/>
            <w:bottom w:val="none" w:sz="0" w:space="0" w:color="auto"/>
            <w:right w:val="none" w:sz="0" w:space="0" w:color="auto"/>
          </w:divBdr>
        </w:div>
        <w:div w:id="1952778869">
          <w:marLeft w:val="0"/>
          <w:marRight w:val="15"/>
          <w:marTop w:val="0"/>
          <w:marBottom w:val="30"/>
          <w:divBdr>
            <w:top w:val="none" w:sz="0" w:space="0" w:color="auto"/>
            <w:left w:val="none" w:sz="0" w:space="0" w:color="auto"/>
            <w:bottom w:val="none" w:sz="0" w:space="0" w:color="auto"/>
            <w:right w:val="none" w:sz="0" w:space="0" w:color="auto"/>
          </w:divBdr>
        </w:div>
        <w:div w:id="1000424174">
          <w:marLeft w:val="0"/>
          <w:marRight w:val="15"/>
          <w:marTop w:val="0"/>
          <w:marBottom w:val="30"/>
          <w:divBdr>
            <w:top w:val="none" w:sz="0" w:space="0" w:color="auto"/>
            <w:left w:val="none" w:sz="0" w:space="0" w:color="auto"/>
            <w:bottom w:val="none" w:sz="0" w:space="0" w:color="auto"/>
            <w:right w:val="none" w:sz="0" w:space="0" w:color="auto"/>
          </w:divBdr>
        </w:div>
        <w:div w:id="154107491">
          <w:marLeft w:val="0"/>
          <w:marRight w:val="0"/>
          <w:marTop w:val="0"/>
          <w:marBottom w:val="0"/>
          <w:divBdr>
            <w:top w:val="none" w:sz="0" w:space="0" w:color="auto"/>
            <w:left w:val="none" w:sz="0" w:space="0" w:color="auto"/>
            <w:bottom w:val="none" w:sz="0" w:space="0" w:color="auto"/>
            <w:right w:val="none" w:sz="0" w:space="0" w:color="auto"/>
          </w:divBdr>
          <w:divsChild>
            <w:div w:id="649097331">
              <w:marLeft w:val="0"/>
              <w:marRight w:val="0"/>
              <w:marTop w:val="0"/>
              <w:marBottom w:val="0"/>
              <w:divBdr>
                <w:top w:val="none" w:sz="0" w:space="0" w:color="auto"/>
                <w:left w:val="none" w:sz="0" w:space="0" w:color="auto"/>
                <w:bottom w:val="none" w:sz="0" w:space="0" w:color="auto"/>
                <w:right w:val="none" w:sz="0" w:space="0" w:color="auto"/>
              </w:divBdr>
            </w:div>
          </w:divsChild>
        </w:div>
        <w:div w:id="1306933671">
          <w:marLeft w:val="0"/>
          <w:marRight w:val="0"/>
          <w:marTop w:val="0"/>
          <w:marBottom w:val="0"/>
          <w:divBdr>
            <w:top w:val="none" w:sz="0" w:space="0" w:color="auto"/>
            <w:left w:val="none" w:sz="0" w:space="0" w:color="auto"/>
            <w:bottom w:val="none" w:sz="0" w:space="0" w:color="auto"/>
            <w:right w:val="none" w:sz="0" w:space="0" w:color="auto"/>
          </w:divBdr>
        </w:div>
        <w:div w:id="1317297513">
          <w:marLeft w:val="0"/>
          <w:marRight w:val="0"/>
          <w:marTop w:val="0"/>
          <w:marBottom w:val="0"/>
          <w:divBdr>
            <w:top w:val="none" w:sz="0" w:space="0" w:color="auto"/>
            <w:left w:val="none" w:sz="0" w:space="0" w:color="auto"/>
            <w:bottom w:val="none" w:sz="0" w:space="0" w:color="auto"/>
            <w:right w:val="none" w:sz="0" w:space="0" w:color="auto"/>
          </w:divBdr>
        </w:div>
        <w:div w:id="662468658">
          <w:marLeft w:val="0"/>
          <w:marRight w:val="0"/>
          <w:marTop w:val="0"/>
          <w:marBottom w:val="0"/>
          <w:divBdr>
            <w:top w:val="none" w:sz="0" w:space="0" w:color="auto"/>
            <w:left w:val="none" w:sz="0" w:space="0" w:color="auto"/>
            <w:bottom w:val="none" w:sz="0" w:space="0" w:color="auto"/>
            <w:right w:val="none" w:sz="0" w:space="0" w:color="auto"/>
          </w:divBdr>
        </w:div>
        <w:div w:id="807287006">
          <w:marLeft w:val="0"/>
          <w:marRight w:val="0"/>
          <w:marTop w:val="0"/>
          <w:marBottom w:val="0"/>
          <w:divBdr>
            <w:top w:val="none" w:sz="0" w:space="0" w:color="auto"/>
            <w:left w:val="none" w:sz="0" w:space="0" w:color="auto"/>
            <w:bottom w:val="none" w:sz="0" w:space="0" w:color="auto"/>
            <w:right w:val="none" w:sz="0" w:space="0" w:color="auto"/>
          </w:divBdr>
        </w:div>
        <w:div w:id="697783157">
          <w:marLeft w:val="0"/>
          <w:marRight w:val="0"/>
          <w:marTop w:val="0"/>
          <w:marBottom w:val="0"/>
          <w:divBdr>
            <w:top w:val="none" w:sz="0" w:space="0" w:color="auto"/>
            <w:left w:val="none" w:sz="0" w:space="0" w:color="auto"/>
            <w:bottom w:val="none" w:sz="0" w:space="0" w:color="auto"/>
            <w:right w:val="none" w:sz="0" w:space="0" w:color="auto"/>
          </w:divBdr>
        </w:div>
        <w:div w:id="141724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297&amp;action=invitations" TargetMode="External"/><Relationship Id="rId13" Type="http://schemas.openxmlformats.org/officeDocument/2006/relationships/hyperlink" Target="http://www.b2b-mrsk.ru/market/list_tenders.html?open=1&amp;all=0&amp;cat_id=64530630" TargetMode="External"/><Relationship Id="rId18" Type="http://schemas.openxmlformats.org/officeDocument/2006/relationships/hyperlink" Target="http://www.b2b-mrsk.ru/download.html?file=file%2F14861268.docx&amp;title=%D0%97%D0%94+%D0%BF%D1%80%D0%B5%D0%B4%D0%B2%D0%B0%D1%80%D0%B8%D1%82+%D1%8D%D1%82%D0%B0%D0%BF.docx" TargetMode="External"/><Relationship Id="rId26" Type="http://schemas.openxmlformats.org/officeDocument/2006/relationships/hyperlink" Target="http://www.b2b-mrsk.ru/market/view_tender.html?id=44297&amp;zgr=get_xml"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44297&amp;action=explanation" TargetMode="External"/><Relationship Id="rId12" Type="http://schemas.openxmlformats.org/officeDocument/2006/relationships/hyperlink" Target="http://www.b2b-mrsk.ru/market/list_tenders.html?open=1&amp;all=0&amp;cat_id=64530645" TargetMode="External"/><Relationship Id="rId17" Type="http://schemas.openxmlformats.org/officeDocument/2006/relationships/hyperlink" Target="mailto:OkuntsevES@yec.te.ru" TargetMode="External"/><Relationship Id="rId25" Type="http://schemas.openxmlformats.org/officeDocument/2006/relationships/hyperlink" Target="http://www.b2b-mrsk.ru/translation/translation.html" TargetMode="External"/><Relationship Id="rId2" Type="http://schemas.openxmlformats.org/officeDocument/2006/relationships/styles" Target="styles.xml"/><Relationship Id="rId16" Type="http://schemas.openxmlformats.org/officeDocument/2006/relationships/hyperlink" Target="http://www.b2b-mrsk.ru/popups/send_message.html?action=send&amp;to=121926&amp;subject=%D0%92%D0%BE%D0%BF%D1%80%D0%BE%D1%81+%D0%BF%D0%BE+%D0%BA%D0%BE%D0%BD%D0%BA%D1%83%D1%80%D1%81%D1%83+%E2%84%96+44297" TargetMode="External"/><Relationship Id="rId20" Type="http://schemas.openxmlformats.org/officeDocument/2006/relationships/hyperlink" Target="http://www.b2b-mrsk.ru/market/view_tender.html?id=44297&amp;action=signed_doc&amp;key=qdo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_tender.html?id=44297&amp;show=lots" TargetMode="External"/><Relationship Id="rId11" Type="http://schemas.openxmlformats.org/officeDocument/2006/relationships/hyperlink" Target="http://www.b2b-mrsk.ru/firms/view_firm.html?id=102372" TargetMode="External"/><Relationship Id="rId24" Type="http://schemas.openxmlformats.org/officeDocument/2006/relationships/hyperlink" Target="http://www.b2b-mrsk.ru/market/view_tender.html?id=44297&amp;action=signed_doc&amp;key=docs" TargetMode="External"/><Relationship Id="rId5" Type="http://schemas.openxmlformats.org/officeDocument/2006/relationships/hyperlink" Target="http://www.b2b-mrsk.ru/innovations/index.html" TargetMode="External"/><Relationship Id="rId15" Type="http://schemas.openxmlformats.org/officeDocument/2006/relationships/control" Target="activeX/activeX1.xml"/><Relationship Id="rId23" Type="http://schemas.openxmlformats.org/officeDocument/2006/relationships/hyperlink" Target="http://www.b2b-mrsk.ru/market/edit_tender.html?id=44297&amp;action=docs" TargetMode="External"/><Relationship Id="rId28" Type="http://schemas.openxmlformats.org/officeDocument/2006/relationships/hyperlink" Target="http://www.b2b-mrsk.ru/market/view_tender.html?id=44297&amp;action=signed_doc&amp;key=tender" TargetMode="External"/><Relationship Id="rId10" Type="http://schemas.openxmlformats.org/officeDocument/2006/relationships/hyperlink" Target="http://www.b2b-mrsk.ru/market/view_tender.html?id=44297&amp;show=statistics" TargetMode="External"/><Relationship Id="rId19" Type="http://schemas.openxmlformats.org/officeDocument/2006/relationships/hyperlink" Target="http://www.b2b-mrsk.ru/market/edit_tender.html?id=44297&amp;action=qdocs" TargetMode="External"/><Relationship Id="rId4" Type="http://schemas.openxmlformats.org/officeDocument/2006/relationships/webSettings" Target="webSettings.xml"/><Relationship Id="rId9" Type="http://schemas.openxmlformats.org/officeDocument/2006/relationships/hyperlink" Target="http://www.b2b-mrsk.ru/market/edit_tender.html?id=44297&amp;action=send_letters" TargetMode="External"/><Relationship Id="rId14" Type="http://schemas.openxmlformats.org/officeDocument/2006/relationships/image" Target="media/image1.wmf"/><Relationship Id="rId22" Type="http://schemas.openxmlformats.org/officeDocument/2006/relationships/hyperlink" Target="http://www.b2b-mrsk.ru/download.html?file=file%2F14876106.7z&amp;title=04+%D0%9A%D0%94+%D0%A3%D1%81%D1%82%D0%B0%D0%BD%D0%BE%D0%B2%D0%BA%D0%B0+%D0%A2%D0%A1%D0%9E.7z" TargetMode="External"/><Relationship Id="rId27" Type="http://schemas.openxmlformats.org/officeDocument/2006/relationships/hyperlink" Target="http://www.b2b-mrsk.ru/popups/send_message.html?action=send&amp;to=121926"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2410</Words>
  <Characters>13742</Characters>
  <Application>Microsoft Office Word</Application>
  <DocSecurity>0</DocSecurity>
  <Lines>114</Lines>
  <Paragraphs>32</Paragraphs>
  <ScaleCrop>false</ScaleCrop>
  <Company>ОАО "Тюменьэнерго"</Company>
  <LinksUpToDate>false</LinksUpToDate>
  <CharactersWithSpaces>16120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 Окунцев_ЕС</dc:creator>
  <cp:keywords/>
  <dc:description/>
  <cp:lastModifiedBy>ОЛиМТО: Окунцев_ЕС</cp:lastModifiedBy>
  <cp:revision>4</cp:revision>
  <dcterms:created xsi:type="dcterms:W3CDTF">2015-02-27T04:18:00Z</dcterms:created>
  <dcterms:modified xsi:type="dcterms:W3CDTF">2015-02-27T04:26:00Z</dcterms:modified>
</cp:coreProperties>
</file>