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88E" w:rsidRPr="001A288E" w:rsidRDefault="001A288E" w:rsidP="001A288E">
      <w:pPr>
        <w:spacing w:after="300" w:line="288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Конкурс № 1046201</w:t>
      </w:r>
    </w:p>
    <w:p w:rsidR="001A288E" w:rsidRPr="001A288E" w:rsidRDefault="001A288E" w:rsidP="001A288E">
      <w:pPr>
        <w:spacing w:after="300" w:line="288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</w:r>
      <w:proofErr w:type="spellStart"/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КНС-11, II этап филиала АО "</w:t>
      </w:r>
      <w:proofErr w:type="spellStart"/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" </w:t>
      </w:r>
      <w:proofErr w:type="spellStart"/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1A288E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электрические сети</w:t>
      </w:r>
    </w:p>
    <w:p w:rsidR="001A288E" w:rsidRPr="001A288E" w:rsidRDefault="001A288E" w:rsidP="001A28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Приём заявок завершается 17.07.2018 в 09:00 по московскому времени</w:t>
      </w:r>
      <w:r w:rsidRPr="001A288E">
        <w:rPr>
          <w:rFonts w:ascii="Times New Roman" w:eastAsia="Times New Roman" w:hAnsi="Times New Roman" w:cs="Times New Roman"/>
          <w:color w:val="E4002B"/>
          <w:sz w:val="24"/>
          <w:szCs w:val="24"/>
          <w:lang w:eastAsia="ru-RU"/>
        </w:rPr>
        <w:t xml:space="preserve">  (через 20 суток, 23 часа, 17 секунд) </w:t>
      </w:r>
      <w:r w:rsidRPr="001A288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(завершён) </w:t>
      </w:r>
      <w:r w:rsidRPr="001A288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br/>
      </w:r>
      <w:r w:rsidRPr="001A288E">
        <w:rPr>
          <w:rFonts w:ascii="Times New Roman" w:eastAsia="Times New Roman" w:hAnsi="Times New Roman" w:cs="Times New Roman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1A288E">
        <w:rPr>
          <w:rFonts w:ascii="Times New Roman" w:eastAsia="Times New Roman" w:hAnsi="Times New Roman" w:cs="Times New Roman"/>
          <w:vanish/>
          <w:color w:val="E4002B"/>
          <w:sz w:val="24"/>
          <w:szCs w:val="24"/>
          <w:lang w:eastAsia="ru-RU"/>
        </w:rPr>
        <w:t xml:space="preserve"> </w:t>
      </w:r>
      <w:r w:rsidRPr="001A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A288E" w:rsidRPr="001A288E" w:rsidRDefault="001A288E" w:rsidP="001A288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28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Извещение</w:t>
      </w:r>
    </w:p>
    <w:p w:rsidR="001A288E" w:rsidRPr="001A288E" w:rsidRDefault="001A288E" w:rsidP="001A288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history="1">
        <w:r w:rsidRPr="001A288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Все лоты - 1</w:t>
        </w:r>
      </w:hyperlink>
      <w:bookmarkStart w:id="0" w:name="_GoBack"/>
      <w:bookmarkEnd w:id="0"/>
    </w:p>
    <w:p w:rsidR="001A288E" w:rsidRPr="001A288E" w:rsidRDefault="001A288E" w:rsidP="001A288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6" w:history="1">
        <w:r w:rsidRPr="001A288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1A288E" w:rsidRPr="001A288E" w:rsidRDefault="001A288E" w:rsidP="001A288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history="1">
        <w:r w:rsidRPr="001A288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1A288E" w:rsidRPr="001A288E" w:rsidRDefault="001A288E" w:rsidP="001A288E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-171" w:righ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8" w:history="1">
        <w:r w:rsidRPr="001A288E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A288E" w:rsidRPr="001A288E" w:rsidTr="001A288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1A288E" w:rsidRPr="001A288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288E" w:rsidRPr="001A288E" w:rsidRDefault="001A288E" w:rsidP="001A288E">
                  <w:pPr>
                    <w:shd w:val="clear" w:color="auto" w:fill="C7CCD3"/>
                    <w:spacing w:after="0" w:line="288" w:lineRule="auto"/>
                    <w:outlineLvl w:val="2"/>
                    <w:divId w:val="158545867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</w:t>
                  </w:r>
                  <w:proofErr w:type="spellStart"/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КНС-11, II этап филиала АО "</w:t>
                  </w:r>
                  <w:proofErr w:type="spellStart"/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" </w:t>
                  </w:r>
                  <w:proofErr w:type="spellStart"/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</w:t>
                  </w:r>
                </w:p>
              </w:tc>
            </w:tr>
            <w:tr w:rsidR="001A288E" w:rsidRPr="001A288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реконструкции ПС 110/35/6 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кВ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КНС-11, II этап филиала АО "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Нижневартовские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электрические сети 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9314110 </w:t>
                        </w:r>
                        <w:hyperlink r:id="rId10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внутренней электропроводки и смена электроосветительной аппаратуры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9314130 </w:t>
                        </w:r>
                        <w:hyperlink r:id="rId11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Ремонт наружных электрических водопроводных, канализационных сетей на территории индивидуальных домовладельцев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9314292 </w:t>
                        </w:r>
                        <w:hyperlink r:id="rId12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Монтаж внутренних электропроводок и электроосветительной арматуры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9319130 </w:t>
                        </w:r>
                        <w:hyperlink r:id="rId13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Сборка, подвеска, монтаж и демонтаж осветительной аппаратуры</w:t>
                          </w:r>
                        </w:hyperlink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12 958 604,06 руб.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26.06.2018 09:54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17.07.2018 09:00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10.09.2018 - 29.03.2019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26.06.2018 09:54, </w:t>
                        </w:r>
                        <w:hyperlink r:id="rId14" w:tgtFrame="_blank" w:tooltip="Отправить личное сообщение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Туниекова Ольга Юрьевна</w:t>
                          </w:r>
                        </w:hyperlink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Контактный адрес e-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tuniekova-oyu@te.ru</w:t>
                          </w:r>
                        </w:hyperlink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48-41-89</w:t>
                        </w:r>
                      </w:p>
                    </w:tc>
                  </w:tr>
                </w:tbl>
                <w:p w:rsidR="001A288E" w:rsidRPr="001A288E" w:rsidRDefault="001A288E" w:rsidP="001A2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1A288E" w:rsidRPr="001A288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A288E" w:rsidRPr="001A288E" w:rsidRDefault="001A288E" w:rsidP="001A288E">
                  <w:pPr>
                    <w:spacing w:after="0" w:line="288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1A288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1A288E" w:rsidRPr="001A288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1BA6D01" wp14:editId="7D8D2FBC">
                              <wp:extent cx="143510" cy="143510"/>
                              <wp:effectExtent l="0" t="0" r="8890" b="8890"/>
                              <wp:docPr id="7" name="Рисунок 7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37F46AF9" wp14:editId="6FD8A555">
                              <wp:extent cx="143510" cy="143510"/>
                              <wp:effectExtent l="0" t="0" r="8890" b="889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Назначена Приказом АО «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№ 207 от 17.04.2018г.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2. Участник/субподрядчик (соисполнитель, субпоставщик)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3. Обеспечение заявки на участие в закупке в размере 2% начальной цены лота.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4. Требование о возможности и размере авансирования устанавливается в соответствии с проектом договора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 необходимости авансирования Участник должен указать в письме о подаче оферты в составе заявки на участие в закупке.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5. Требование к обеспечению исполнения договора: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Требование к обеспечению исполнения договора устанавливается в соответствии с проектом договора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если Участник отказывается от авансирования: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договора: 5% цены договора.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случае, возможности выплаты аванса: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исполнения договора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устанавливается в размере аванса (30% от цены договора).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6. Требование к обеспечению гарантийных обязательств по договору: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Размер обеспечения гарантийных обязательств по договору: 2,5% цены договора.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7. 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9. Участник/ член коллективного Участника, субподрядчик (соисполнитель/субпоставщик) должен обладать необходимыми кадровыми ресурсами: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инженерно-технические работники – не менее 3 чел., в том числе не менее 1 чел. с правом выдачи наряда-допуска в электроустановках до и выше 1000В, ответственного производителя работ с группой по электробезопасности не ниже 5 с правом ответственного за безопасное производство работ с подъемными сооружениями, не менее 2 чел. с группой по электробезопасности не ниже 4: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РЗА – не менее 1 чел.,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системам видеонаблюдения и связи – не менее 1 чел.,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инженер по системе телемеханики – не менее 1 чел.,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рабочие – не менее 7 чел.: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РЗА 5 разряда – не менее 1 чел. с группой по электробезопасности не ниже 4,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связи и видеонаблюдения 5 разряда – не менее 2 чел. с группой по электробезопасности не ниже 3,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электромонтер систем АСУ ТП 5 разряда – не менее 1 чел. с группой по электробезопасности не ниже 3,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электрогазосварщик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5 разряда – не менее 1 чел. с группой по электробезопасности не ниже 2,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электромонтажник 4 разряда с удостоверением стропальщика – не менее 2 чел. с группой по электробезопасности не ниже 3.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10. Участник/ член коллективного Участника, субподрядчик (соисполнитель/субпоставщик) должен обладать необходимыми основными машинами и механизмами: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вахтовый автотранспорт – не менее 1 ед.,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автокран автомобильный г/п 32 т – не менее 1 ед.,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бортовой автомобиль г/п 11 т – не менее 1 ед.,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сварочный агрегат – не менее 1 ед.,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- комплект инструмента и такелажа для монтажа оборудования.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11. 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 имеющие рыночную стоимость не ниже балансовой).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KCB = V/B : S/P,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12. Техническое и коммерческое предложения должны соответствовать требованиям Заказчика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13. 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14.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коррупции АО «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на электронном портале http://zakupki.gov.ru/;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к) отсутствие у АО "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оказанию им услуг;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 с АО "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п) отсутствие двух и более отрицательных заключений 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«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».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 (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АО "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").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15. Участник/ член коллективного Участника должен являться членом саморегулируемой организации и иметь право выполнять работы по реконструкции объектов капитального строительства по договору подряда, заключаемому с использованием конкурентных способов заключения договоров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Конкурсную документацию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Показано 3 файла из 4</w:t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A28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ПД+СД.7z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(22.8 МБ)</w:t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A28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1 часть.7z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(19.6 МБ)</w:t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tgtFrame="_blank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A28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РД 2 часть.7z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(24.8 МБ)</w:t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1A28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vanish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Конкурсная документация.zip</w:t>
                          </w:r>
                        </w:hyperlink>
                        <w:r w:rsidRPr="001A288E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(10.8 МБ)</w:t>
                        </w:r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Показать все файлы...</w:t>
                          </w:r>
                        </w:hyperlink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6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Указаны в приложении №3 к Конкурсной документации.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информационно-телекоммуникационной сети "Интернет" (www.zakupki.gov.ru),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06.08.2018 15:00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16.08.2018 15:00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Ханты-Мансийский автономный округ-Югра, г. Нижневартовск, ул. Пермская, 22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Обеспечение исполнения обязательств по договору предоставляется Участником закупки по его выбору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 xml:space="preserve">принести убытки. </w:t>
                        </w: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A288E" w:rsidRPr="001A288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1A288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1A288E" w:rsidRPr="001A288E" w:rsidRDefault="001A288E" w:rsidP="001A288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7" w:tgtFrame="signature" w:history="1">
                          <w:r w:rsidRPr="001A288E">
                            <w:rPr>
                              <w:rFonts w:ascii="Times New Roman" w:eastAsia="Times New Roman" w:hAnsi="Times New Roman" w:cs="Times New Roman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1A288E" w:rsidRPr="001A288E" w:rsidRDefault="001A288E" w:rsidP="001A28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A288E" w:rsidRPr="001A288E" w:rsidRDefault="001A288E" w:rsidP="001A2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20C16" w:rsidRPr="001A288E" w:rsidRDefault="00620C16">
      <w:pPr>
        <w:rPr>
          <w:rFonts w:ascii="Times New Roman" w:hAnsi="Times New Roman" w:cs="Times New Roman"/>
          <w:sz w:val="24"/>
          <w:szCs w:val="24"/>
        </w:rPr>
      </w:pPr>
    </w:p>
    <w:sectPr w:rsidR="00620C16" w:rsidRPr="001A2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/>
    </w:pict>
  </w:numPicBullet>
  <w:abstractNum w:abstractNumId="0" w15:restartNumberingAfterBreak="0">
    <w:nsid w:val="6DF82126"/>
    <w:multiLevelType w:val="multilevel"/>
    <w:tmpl w:val="B226094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88E"/>
    <w:rsid w:val="001A288E"/>
    <w:rsid w:val="0062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D6B01-7A03-4184-8C45-A5AF42FF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6242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46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31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1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2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3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9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2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4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5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046201&amp;action=statistics" TargetMode="External"/><Relationship Id="rId13" Type="http://schemas.openxmlformats.org/officeDocument/2006/relationships/hyperlink" Target="http://www.b2b-mrsk.ru/market/list.html?all=0&amp;bookmarks=0&amp;cat_id=159319130&amp;type=20" TargetMode="External"/><Relationship Id="rId18" Type="http://schemas.openxmlformats.org/officeDocument/2006/relationships/hyperlink" Target="mailto:tuniekova-oyu%40te.ru" TargetMode="External"/><Relationship Id="rId26" Type="http://schemas.openxmlformats.org/officeDocument/2006/relationships/hyperlink" Target="http://www.b2b-mrsk.ru/market/edit.html?id=1046201&amp;action=doc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210184472.7z&amp;title=%D0%A0%D0%94+1+%D1%87%D0%B0%D1%81%D1%82%D1%8C.7z" TargetMode="External"/><Relationship Id="rId7" Type="http://schemas.openxmlformats.org/officeDocument/2006/relationships/hyperlink" Target="http://www.b2b-mrsk.ru/market/view.html?id=1046201&amp;action=invitations" TargetMode="External"/><Relationship Id="rId12" Type="http://schemas.openxmlformats.org/officeDocument/2006/relationships/hyperlink" Target="http://www.b2b-mrsk.ru/market/list.html?all=0&amp;bookmarks=0&amp;cat_id=159314292&amp;type=20" TargetMode="External"/><Relationship Id="rId17" Type="http://schemas.openxmlformats.org/officeDocument/2006/relationships/hyperlink" Target="http://www.b2b-mrsk.ru/firms/ao-tiumenenergo/247/" TargetMode="External"/><Relationship Id="rId25" Type="http://schemas.openxmlformats.org/officeDocument/2006/relationships/hyperlink" Target="http://www.b2b-mrsk.ru/market/view.html?id=104620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filial-ao-tiumenenergo-nizhnevartovskie-elektricheskie-seti/102351/" TargetMode="External"/><Relationship Id="rId20" Type="http://schemas.openxmlformats.org/officeDocument/2006/relationships/hyperlink" Target="http://www.b2b-mrsk.ru/download.html?file=file%2F210184471.7z&amp;title=%D0%9F%D0%94%2B%D0%A1%D0%94.7z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1046201&amp;action=explanation" TargetMode="External"/><Relationship Id="rId11" Type="http://schemas.openxmlformats.org/officeDocument/2006/relationships/hyperlink" Target="http://www.b2b-mrsk.ru/market/list.html?all=0&amp;bookmarks=0&amp;cat_id=159314130&amp;type=20" TargetMode="External"/><Relationship Id="rId24" Type="http://schemas.openxmlformats.org/officeDocument/2006/relationships/hyperlink" Target="http://www.b2b-mrsk.ru/market/view.html?id=1046201" TargetMode="External"/><Relationship Id="rId5" Type="http://schemas.openxmlformats.org/officeDocument/2006/relationships/hyperlink" Target="http://www.b2b-mrsk.ru/market/view.html?id=1046201&amp;action=lots" TargetMode="External"/><Relationship Id="rId15" Type="http://schemas.openxmlformats.org/officeDocument/2006/relationships/hyperlink" Target="http://www.b2b-mrsk.ru/popups/send_message.html?action=send&amp;to=125051" TargetMode="External"/><Relationship Id="rId23" Type="http://schemas.openxmlformats.org/officeDocument/2006/relationships/hyperlink" Target="http://www.b2b-mrsk.ru/download.html?file=file%2F210184475.zip&amp;title=%D0%9A%D0%BE%D0%BD%D0%BA%D1%83%D1%80%D1%81%D0%BD%D0%B0%D1%8F+%D0%B4%D0%BE%D0%BA%D1%83%D0%BC%D0%B5%D0%BD%D1%82%D0%B0%D1%86%D0%B8%D1%8F.zip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b2b-mrsk.ru/market/list.html?all=0&amp;bookmarks=0&amp;cat_id=159314110&amp;type=20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1046209" TargetMode="External"/><Relationship Id="rId14" Type="http://schemas.openxmlformats.org/officeDocument/2006/relationships/hyperlink" Target="http://www.b2b-mrsk.ru/popups/send_message.html?action=send&amp;to=121904" TargetMode="External"/><Relationship Id="rId22" Type="http://schemas.openxmlformats.org/officeDocument/2006/relationships/hyperlink" Target="http://www.b2b-mrsk.ru/download.html?file=file%2F210184473.7z&amp;title=%D0%A0%D0%94+2+%D1%87%D0%B0%D1%81%D1%82%D1%8C.7z" TargetMode="External"/><Relationship Id="rId27" Type="http://schemas.openxmlformats.org/officeDocument/2006/relationships/hyperlink" Target="http://www.b2b-mrsk.ru/market/view.html?id=1046201&amp;action=signed_doc&amp;key=au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3304</Words>
  <Characters>18834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Туниекова Ольга Юрьевна</dc:creator>
  <cp:keywords/>
  <dc:description/>
  <cp:lastModifiedBy>Туниекова Ольга Юрьевна</cp:lastModifiedBy>
  <cp:revision>1</cp:revision>
  <dcterms:created xsi:type="dcterms:W3CDTF">2018-06-26T06:59:00Z</dcterms:created>
  <dcterms:modified xsi:type="dcterms:W3CDTF">2018-06-26T07:00:00Z</dcterms:modified>
</cp:coreProperties>
</file>