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3A" w:rsidRPr="00D7683A" w:rsidRDefault="00D7683A" w:rsidP="00D7683A">
      <w:pPr>
        <w:spacing w:after="144" w:line="240" w:lineRule="auto"/>
        <w:rPr>
          <w:rFonts w:ascii="Arial" w:eastAsia="Times New Roman" w:hAnsi="Arial" w:cs="Arial"/>
          <w:b/>
          <w:bCs/>
          <w:color w:val="000000"/>
          <w:sz w:val="36"/>
          <w:szCs w:val="45"/>
          <w:lang w:eastAsia="ru-RU"/>
        </w:rPr>
      </w:pPr>
      <w:r w:rsidRPr="00D7683A">
        <w:rPr>
          <w:rFonts w:ascii="Arial" w:eastAsia="Times New Roman" w:hAnsi="Arial" w:cs="Arial"/>
          <w:b/>
          <w:bCs/>
          <w:color w:val="000000"/>
          <w:sz w:val="36"/>
          <w:szCs w:val="45"/>
          <w:lang w:eastAsia="ru-RU"/>
        </w:rPr>
        <w:t>Конкурс (тендер) № 50128</w:t>
      </w:r>
      <w:r w:rsidRPr="00D7683A">
        <w:rPr>
          <w:rFonts w:ascii="Arial" w:eastAsia="Times New Roman" w:hAnsi="Arial" w:cs="Arial"/>
          <w:b/>
          <w:bCs/>
          <w:color w:val="000000"/>
          <w:sz w:val="36"/>
          <w:szCs w:val="45"/>
          <w:lang w:eastAsia="ru-RU"/>
        </w:rPr>
        <w:br/>
      </w:r>
      <w:r w:rsidRPr="00D7683A">
        <w:rPr>
          <w:rFonts w:ascii="Arial" w:eastAsia="Times New Roman" w:hAnsi="Arial" w:cs="Arial"/>
          <w:b/>
          <w:bCs/>
          <w:color w:val="000000"/>
          <w:sz w:val="24"/>
          <w:szCs w:val="34"/>
          <w:lang w:eastAsia="ru-RU"/>
        </w:rPr>
        <w:t>Открытый одноэтапный конкурс без предварительного отбора на право заключения Договора на выполнение работ по санитарному содержанию помещений и прилегающих к ним территорий для нужд филиала АО «Тюменьэнерго» Нефтеюганские электрические сети</w:t>
      </w:r>
      <w:r w:rsidRPr="00D7683A">
        <w:rPr>
          <w:rFonts w:ascii="Arial" w:eastAsia="Times New Roman" w:hAnsi="Arial" w:cs="Arial"/>
          <w:b/>
          <w:bCs/>
          <w:color w:val="000000"/>
          <w:sz w:val="36"/>
          <w:szCs w:val="45"/>
          <w:lang w:eastAsia="ru-RU"/>
        </w:rPr>
        <w:t> </w:t>
      </w:r>
      <w:r w:rsidRPr="00D7683A">
        <w:rPr>
          <w:rFonts w:ascii="Arial" w:eastAsia="Times New Roman" w:hAnsi="Arial" w:cs="Arial"/>
          <w:b/>
          <w:bCs/>
          <w:color w:val="A0A0A0"/>
          <w:sz w:val="24"/>
          <w:szCs w:val="34"/>
          <w:lang w:eastAsia="ru-RU"/>
        </w:rPr>
        <w:t>(вскрытие конвертов 03.10.2016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D7683A" w:rsidRPr="00D7683A" w:rsidTr="00D7683A">
        <w:trPr>
          <w:tblCellSpacing w:w="0" w:type="dxa"/>
        </w:trPr>
        <w:tc>
          <w:tcPr>
            <w:tcW w:w="5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D7683A" w:rsidRPr="00D7683A">
              <w:trPr>
                <w:tblCellSpacing w:w="6" w:type="dxa"/>
              </w:trPr>
              <w:tc>
                <w:tcPr>
                  <w:tcW w:w="0" w:type="auto"/>
                  <w:shd w:val="clear" w:color="auto" w:fill="C7CCD3"/>
                  <w:tcMar>
                    <w:top w:w="75" w:type="dxa"/>
                    <w:left w:w="75" w:type="dxa"/>
                    <w:bottom w:w="75" w:type="dxa"/>
                    <w:right w:w="75" w:type="dxa"/>
                  </w:tcMar>
                  <w:hideMark/>
                </w:tcPr>
                <w:p w:rsidR="00D7683A" w:rsidRPr="00D7683A" w:rsidRDefault="00B76268" w:rsidP="00D7683A">
                  <w:pPr>
                    <w:shd w:val="clear" w:color="auto" w:fill="C7CCD3"/>
                    <w:spacing w:after="0" w:line="240" w:lineRule="auto"/>
                    <w:outlineLvl w:val="2"/>
                    <w:rPr>
                      <w:rFonts w:ascii="Arial" w:eastAsia="Times New Roman" w:hAnsi="Arial" w:cs="Arial"/>
                      <w:color w:val="333333"/>
                      <w:sz w:val="16"/>
                      <w:szCs w:val="21"/>
                      <w:lang w:eastAsia="ru-RU"/>
                    </w:rPr>
                  </w:pPr>
                  <w:hyperlink r:id="rId6" w:history="1">
                    <w:r w:rsidR="00D7683A" w:rsidRPr="00D7683A">
                      <w:rPr>
                        <w:rFonts w:ascii="Arial" w:eastAsia="Times New Roman" w:hAnsi="Arial" w:cs="Arial"/>
                        <w:b/>
                        <w:bCs/>
                        <w:color w:val="1367CF"/>
                        <w:sz w:val="16"/>
                        <w:szCs w:val="21"/>
                        <w:bdr w:val="none" w:sz="0" w:space="0" w:color="auto" w:frame="1"/>
                        <w:lang w:eastAsia="ru-RU"/>
                      </w:rPr>
                      <w:t xml:space="preserve">Филиал акционерного общества энергетики и </w:t>
                    </w:r>
                    <w:proofErr w:type="spellStart"/>
                    <w:r w:rsidR="00D7683A" w:rsidRPr="00D7683A">
                      <w:rPr>
                        <w:rFonts w:ascii="Arial" w:eastAsia="Times New Roman" w:hAnsi="Arial" w:cs="Arial"/>
                        <w:b/>
                        <w:bCs/>
                        <w:color w:val="1367CF"/>
                        <w:sz w:val="16"/>
                        <w:szCs w:val="21"/>
                        <w:bdr w:val="none" w:sz="0" w:space="0" w:color="auto" w:frame="1"/>
                        <w:lang w:eastAsia="ru-RU"/>
                      </w:rPr>
                      <w:t>электрофикации</w:t>
                    </w:r>
                    <w:proofErr w:type="spellEnd"/>
                    <w:r w:rsidR="00D7683A" w:rsidRPr="00D7683A">
                      <w:rPr>
                        <w:rFonts w:ascii="Arial" w:eastAsia="Times New Roman" w:hAnsi="Arial" w:cs="Arial"/>
                        <w:b/>
                        <w:bCs/>
                        <w:color w:val="1367CF"/>
                        <w:sz w:val="16"/>
                        <w:szCs w:val="21"/>
                        <w:bdr w:val="none" w:sz="0" w:space="0" w:color="auto" w:frame="1"/>
                        <w:lang w:eastAsia="ru-RU"/>
                      </w:rPr>
                      <w:t xml:space="preserve"> "Тюменьэнерго" Нефтеюганские электрические сети</w:t>
                    </w:r>
                  </w:hyperlink>
                  <w:r w:rsidR="00D7683A" w:rsidRPr="00D7683A">
                    <w:rPr>
                      <w:rFonts w:ascii="Arial" w:eastAsia="Times New Roman" w:hAnsi="Arial" w:cs="Arial"/>
                      <w:color w:val="333333"/>
                      <w:sz w:val="16"/>
                      <w:szCs w:val="21"/>
                      <w:lang w:eastAsia="ru-RU"/>
                    </w:rPr>
                    <w:t xml:space="preserve">, 628303, Ханты-Мансийский Автономный округ - Югра, Тюменская обл., г. Нефтеюганск, ул. Мира, д. 15, </w:t>
                  </w:r>
                  <w:r w:rsidR="00D7683A" w:rsidRPr="00D7683A">
                    <w:rPr>
                      <w:rFonts w:ascii="Arial" w:eastAsia="Times New Roman" w:hAnsi="Arial" w:cs="Arial"/>
                      <w:b/>
                      <w:bCs/>
                      <w:color w:val="333333"/>
                      <w:sz w:val="16"/>
                      <w:szCs w:val="21"/>
                      <w:lang w:eastAsia="ru-RU"/>
                    </w:rPr>
                    <w:t>приглашает принять участие в процедуре (тендере)</w:t>
                  </w:r>
                  <w:r w:rsidR="00D7683A" w:rsidRPr="00D7683A">
                    <w:rPr>
                      <w:rFonts w:ascii="Arial" w:eastAsia="Times New Roman" w:hAnsi="Arial" w:cs="Arial"/>
                      <w:color w:val="333333"/>
                      <w:sz w:val="16"/>
                      <w:szCs w:val="21"/>
                      <w:lang w:eastAsia="ru-RU"/>
                    </w:rPr>
                    <w:t>.</w:t>
                  </w:r>
                </w:p>
              </w:tc>
            </w:tr>
            <w:tr w:rsidR="00D7683A" w:rsidRPr="00D7683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412"/>
                    <w:gridCol w:w="6919"/>
                  </w:tblGrid>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Предмет конкурса (тендера):</w:t>
                        </w:r>
                      </w:p>
                    </w:tc>
                    <w:tc>
                      <w:tcPr>
                        <w:tcW w:w="0" w:type="auto"/>
                        <w:shd w:val="clear" w:color="auto" w:fill="DDE3EB"/>
                        <w:hideMark/>
                      </w:tcPr>
                      <w:p w:rsidR="00D7683A" w:rsidRPr="00D7683A" w:rsidRDefault="00D7683A" w:rsidP="00D7683A">
                        <w:pPr>
                          <w:spacing w:after="0" w:line="240" w:lineRule="auto"/>
                          <w:outlineLvl w:val="0"/>
                          <w:rPr>
                            <w:rFonts w:ascii="Arial" w:eastAsia="Times New Roman" w:hAnsi="Arial" w:cs="Arial"/>
                            <w:color w:val="000000"/>
                            <w:kern w:val="36"/>
                            <w:sz w:val="16"/>
                            <w:szCs w:val="21"/>
                            <w:lang w:eastAsia="ru-RU"/>
                          </w:rPr>
                        </w:pPr>
                        <w:r w:rsidRPr="00D7683A">
                          <w:rPr>
                            <w:rFonts w:ascii="Arial" w:eastAsia="Times New Roman" w:hAnsi="Arial" w:cs="Arial"/>
                            <w:color w:val="000000"/>
                            <w:kern w:val="36"/>
                            <w:sz w:val="16"/>
                            <w:szCs w:val="21"/>
                            <w:lang w:eastAsia="ru-RU"/>
                          </w:rPr>
                          <w:t>Открытый одноэтапный конкурс без предварительного отбора на право заключения Договора на выполнение работ по санитарному содержанию помещений и прилегающих к ним территорий для нужд филиала АО «Тюменьэнерго» Нефтеюганские электрические сети</w:t>
                        </w:r>
                      </w:p>
                      <w:p w:rsidR="00D7683A" w:rsidRPr="00D7683A" w:rsidRDefault="00D7683A" w:rsidP="00D7683A">
                        <w:pPr>
                          <w:spacing w:after="0" w:line="240" w:lineRule="auto"/>
                          <w:outlineLvl w:val="1"/>
                          <w:rPr>
                            <w:rFonts w:ascii="Arial" w:eastAsia="Times New Roman" w:hAnsi="Arial" w:cs="Arial"/>
                            <w:color w:val="000000"/>
                            <w:sz w:val="16"/>
                            <w:szCs w:val="21"/>
                            <w:lang w:eastAsia="ru-RU"/>
                          </w:rPr>
                        </w:pPr>
                        <w:r w:rsidRPr="00D7683A">
                          <w:rPr>
                            <w:rFonts w:ascii="Arial" w:eastAsia="Times New Roman" w:hAnsi="Arial" w:cs="Arial"/>
                            <w:b/>
                            <w:bCs/>
                            <w:color w:val="000000"/>
                            <w:sz w:val="16"/>
                            <w:szCs w:val="21"/>
                            <w:lang w:eastAsia="ru-RU"/>
                          </w:rPr>
                          <w:t>Лот № 1.</w:t>
                        </w:r>
                        <w:r w:rsidRPr="00D7683A">
                          <w:rPr>
                            <w:rFonts w:ascii="Arial" w:eastAsia="Times New Roman" w:hAnsi="Arial" w:cs="Arial"/>
                            <w:color w:val="000000"/>
                            <w:sz w:val="16"/>
                            <w:szCs w:val="21"/>
                            <w:lang w:eastAsia="ru-RU"/>
                          </w:rPr>
                          <w:t xml:space="preserve"> Выполнение работ по санитарному содержанию помещений и прилегающих к ним территорий для нужд филиала АО «Тюменьэнерго» Нефтеюганские электрические сети</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Категории классификатора:</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7493090 </w:t>
                        </w:r>
                        <w:hyperlink r:id="rId7" w:history="1">
                          <w:r w:rsidRPr="00D7683A">
                            <w:rPr>
                              <w:rFonts w:ascii="Arial" w:eastAsia="Times New Roman" w:hAnsi="Arial" w:cs="Arial"/>
                              <w:color w:val="1367CF"/>
                              <w:sz w:val="16"/>
                              <w:szCs w:val="21"/>
                              <w:bdr w:val="none" w:sz="0" w:space="0" w:color="auto" w:frame="1"/>
                              <w:lang w:eastAsia="ru-RU"/>
                            </w:rPr>
                            <w:t>Услуги по уборке зданий прочие</w:t>
                          </w:r>
                        </w:hyperlink>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Дата публикации:</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12.09.2016 12:33</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Сроки поставки:</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b/>
                            <w:bCs/>
                            <w:color w:val="000000"/>
                            <w:sz w:val="16"/>
                            <w:szCs w:val="21"/>
                            <w:lang w:eastAsia="ru-RU"/>
                          </w:rPr>
                          <w:t>2017 Год</w:t>
                        </w:r>
                        <w:r w:rsidRPr="00D7683A">
                          <w:rPr>
                            <w:rFonts w:ascii="Arial" w:eastAsia="Times New Roman" w:hAnsi="Arial" w:cs="Arial"/>
                            <w:color w:val="000000"/>
                            <w:sz w:val="16"/>
                            <w:szCs w:val="21"/>
                            <w:lang w:eastAsia="ru-RU"/>
                          </w:rPr>
                          <w:br/>
                          <w:t>в соответствии со сроками указанными в приложениях № 1, 2.1, 2.2, 2.3 к проекту договора.</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Заказчик:</w:t>
                        </w:r>
                      </w:p>
                    </w:tc>
                    <w:tc>
                      <w:tcPr>
                        <w:tcW w:w="0" w:type="auto"/>
                        <w:shd w:val="clear" w:color="auto" w:fill="DDE3EB"/>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r:id="rId8" w:history="1">
                          <w:r w:rsidR="00D7683A" w:rsidRPr="00D7683A">
                            <w:rPr>
                              <w:rFonts w:ascii="Arial" w:eastAsia="Times New Roman" w:hAnsi="Arial" w:cs="Arial"/>
                              <w:color w:val="1367CF"/>
                              <w:sz w:val="16"/>
                              <w:szCs w:val="21"/>
                              <w:bdr w:val="none" w:sz="0" w:space="0" w:color="auto" w:frame="1"/>
                              <w:lang w:eastAsia="ru-RU"/>
                            </w:rPr>
                            <w:t>АО "Тюменьэнерго"</w:t>
                          </w:r>
                        </w:hyperlink>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Почтовый адрес заказчика:</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628408, Россия, Тюменская область, ХМАО-Югра ,</w:t>
                        </w:r>
                        <w:proofErr w:type="spellStart"/>
                        <w:r w:rsidRPr="00D7683A">
                          <w:rPr>
                            <w:rFonts w:ascii="Arial" w:eastAsia="Times New Roman" w:hAnsi="Arial" w:cs="Arial"/>
                            <w:color w:val="000000"/>
                            <w:sz w:val="16"/>
                            <w:szCs w:val="21"/>
                            <w:lang w:eastAsia="ru-RU"/>
                          </w:rPr>
                          <w:t>г</w:t>
                        </w:r>
                        <w:proofErr w:type="gramStart"/>
                        <w:r w:rsidRPr="00D7683A">
                          <w:rPr>
                            <w:rFonts w:ascii="Arial" w:eastAsia="Times New Roman" w:hAnsi="Arial" w:cs="Arial"/>
                            <w:color w:val="000000"/>
                            <w:sz w:val="16"/>
                            <w:szCs w:val="21"/>
                            <w:lang w:eastAsia="ru-RU"/>
                          </w:rPr>
                          <w:t>.С</w:t>
                        </w:r>
                        <w:proofErr w:type="gramEnd"/>
                        <w:r w:rsidRPr="00D7683A">
                          <w:rPr>
                            <w:rFonts w:ascii="Arial" w:eastAsia="Times New Roman" w:hAnsi="Arial" w:cs="Arial"/>
                            <w:color w:val="000000"/>
                            <w:sz w:val="16"/>
                            <w:szCs w:val="21"/>
                            <w:lang w:eastAsia="ru-RU"/>
                          </w:rPr>
                          <w:t>ургут</w:t>
                        </w:r>
                        <w:proofErr w:type="spellEnd"/>
                        <w:r w:rsidRPr="00D7683A">
                          <w:rPr>
                            <w:rFonts w:ascii="Arial" w:eastAsia="Times New Roman" w:hAnsi="Arial" w:cs="Arial"/>
                            <w:color w:val="000000"/>
                            <w:sz w:val="16"/>
                            <w:szCs w:val="21"/>
                            <w:lang w:eastAsia="ru-RU"/>
                          </w:rPr>
                          <w:t>, ул. Университетская, д.4</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Местонахождение заказчика:</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628408, Россия, Тюменская область, ХМАО-Югра ,</w:t>
                        </w:r>
                        <w:proofErr w:type="spellStart"/>
                        <w:r w:rsidRPr="00D7683A">
                          <w:rPr>
                            <w:rFonts w:ascii="Arial" w:eastAsia="Times New Roman" w:hAnsi="Arial" w:cs="Arial"/>
                            <w:color w:val="000000"/>
                            <w:sz w:val="16"/>
                            <w:szCs w:val="21"/>
                            <w:lang w:eastAsia="ru-RU"/>
                          </w:rPr>
                          <w:t>г</w:t>
                        </w:r>
                        <w:proofErr w:type="gramStart"/>
                        <w:r w:rsidRPr="00D7683A">
                          <w:rPr>
                            <w:rFonts w:ascii="Arial" w:eastAsia="Times New Roman" w:hAnsi="Arial" w:cs="Arial"/>
                            <w:color w:val="000000"/>
                            <w:sz w:val="16"/>
                            <w:szCs w:val="21"/>
                            <w:lang w:eastAsia="ru-RU"/>
                          </w:rPr>
                          <w:t>.С</w:t>
                        </w:r>
                        <w:proofErr w:type="gramEnd"/>
                        <w:r w:rsidRPr="00D7683A">
                          <w:rPr>
                            <w:rFonts w:ascii="Arial" w:eastAsia="Times New Roman" w:hAnsi="Arial" w:cs="Arial"/>
                            <w:color w:val="000000"/>
                            <w:sz w:val="16"/>
                            <w:szCs w:val="21"/>
                            <w:lang w:eastAsia="ru-RU"/>
                          </w:rPr>
                          <w:t>ургут</w:t>
                        </w:r>
                        <w:proofErr w:type="spellEnd"/>
                        <w:r w:rsidRPr="00D7683A">
                          <w:rPr>
                            <w:rFonts w:ascii="Arial" w:eastAsia="Times New Roman" w:hAnsi="Arial" w:cs="Arial"/>
                            <w:color w:val="000000"/>
                            <w:sz w:val="16"/>
                            <w:szCs w:val="21"/>
                            <w:lang w:eastAsia="ru-RU"/>
                          </w:rPr>
                          <w:t>, ул. Университетская, д.4</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Контактное лицо:</w:t>
                        </w:r>
                      </w:p>
                    </w:tc>
                    <w:tc>
                      <w:tcPr>
                        <w:tcW w:w="0" w:type="auto"/>
                        <w:shd w:val="clear" w:color="auto" w:fill="EDF0F3"/>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r:id="rId9" w:tgtFrame="_blank" w:tooltip="Отправить личное сообщение" w:history="1">
                          <w:r w:rsidR="00D7683A" w:rsidRPr="00D7683A">
                            <w:rPr>
                              <w:rFonts w:ascii="Arial" w:eastAsia="Times New Roman" w:hAnsi="Arial" w:cs="Arial"/>
                              <w:color w:val="1367CF"/>
                              <w:sz w:val="16"/>
                              <w:szCs w:val="21"/>
                              <w:bdr w:val="none" w:sz="0" w:space="0" w:color="auto" w:frame="1"/>
                              <w:lang w:eastAsia="ru-RU"/>
                            </w:rPr>
                            <w:t>Яковленко Яна Валерьевна</w:t>
                          </w:r>
                        </w:hyperlink>
                        <w:r w:rsidR="00D7683A" w:rsidRPr="00D7683A">
                          <w:rPr>
                            <w:rFonts w:ascii="Arial" w:eastAsia="Times New Roman" w:hAnsi="Arial" w:cs="Arial"/>
                            <w:color w:val="000000"/>
                            <w:sz w:val="16"/>
                            <w:szCs w:val="21"/>
                            <w:lang w:eastAsia="ru-RU"/>
                          </w:rPr>
                          <w:t xml:space="preserve">, тел.+7 (3463) 25-33-10, </w:t>
                        </w:r>
                        <w:hyperlink r:id="rId10" w:history="1">
                          <w:r w:rsidR="00D7683A" w:rsidRPr="00D7683A">
                            <w:rPr>
                              <w:rFonts w:ascii="Arial" w:eastAsia="Times New Roman" w:hAnsi="Arial" w:cs="Arial"/>
                              <w:color w:val="1367CF"/>
                              <w:sz w:val="16"/>
                              <w:szCs w:val="21"/>
                              <w:bdr w:val="none" w:sz="0" w:space="0" w:color="auto" w:frame="1"/>
                              <w:lang w:eastAsia="ru-RU"/>
                            </w:rPr>
                            <w:t>YakovlenkoYV@nues.te.ru</w:t>
                          </w:r>
                        </w:hyperlink>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Конкурсная комиссия:</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proofErr w:type="gramStart"/>
                        <w:r w:rsidRPr="00D7683A">
                          <w:rPr>
                            <w:rFonts w:ascii="Arial" w:eastAsia="Times New Roman" w:hAnsi="Arial" w:cs="Arial"/>
                            <w:color w:val="000000"/>
                            <w:sz w:val="16"/>
                            <w:szCs w:val="21"/>
                            <w:lang w:eastAsia="ru-RU"/>
                          </w:rPr>
                          <w:t>Назначена</w:t>
                        </w:r>
                        <w:proofErr w:type="gramEnd"/>
                        <w:r w:rsidRPr="00D7683A">
                          <w:rPr>
                            <w:rFonts w:ascii="Arial" w:eastAsia="Times New Roman" w:hAnsi="Arial" w:cs="Arial"/>
                            <w:color w:val="000000"/>
                            <w:sz w:val="16"/>
                            <w:szCs w:val="21"/>
                            <w:lang w:eastAsia="ru-RU"/>
                          </w:rPr>
                          <w:t xml:space="preserve"> Приказом АО "Тюменьэнерго" №154 от 04.04.2016г.</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Требования к участникам:</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proofErr w:type="gramStart"/>
                        <w:r w:rsidRPr="00D7683A">
                          <w:rPr>
                            <w:rFonts w:ascii="Arial" w:eastAsia="Times New Roman" w:hAnsi="Arial" w:cs="Arial"/>
                            <w:color w:val="000000"/>
                            <w:sz w:val="16"/>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7683A">
                          <w:rPr>
                            <w:rFonts w:ascii="Arial" w:eastAsia="Times New Roman" w:hAnsi="Arial" w:cs="Arial"/>
                            <w:color w:val="000000"/>
                            <w:sz w:val="16"/>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D7683A">
                          <w:rPr>
                            <w:rFonts w:ascii="Arial" w:eastAsia="Times New Roman" w:hAnsi="Arial" w:cs="Arial"/>
                            <w:color w:val="000000"/>
                            <w:sz w:val="16"/>
                            <w:szCs w:val="21"/>
                            <w:lang w:eastAsia="ru-RU"/>
                          </w:rPr>
                          <w:t xml:space="preserve"> РФ от 24.07.2002г. №209-ФЗ</w:t>
                        </w:r>
                        <w:r w:rsidRPr="00D7683A">
                          <w:rPr>
                            <w:rFonts w:ascii="Arial" w:eastAsia="Times New Roman" w:hAnsi="Arial" w:cs="Arial"/>
                            <w:color w:val="000000"/>
                            <w:sz w:val="16"/>
                            <w:szCs w:val="21"/>
                            <w:lang w:eastAsia="ru-RU"/>
                          </w:rPr>
                          <w:br/>
                          <w:t>Обеспечение заявки на участие в закупке в размере 2 % начальной цены лота.</w:t>
                        </w:r>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D7683A">
                          <w:rPr>
                            <w:rFonts w:ascii="Arial" w:eastAsia="Times New Roman" w:hAnsi="Arial" w:cs="Arial"/>
                            <w:color w:val="000000"/>
                            <w:sz w:val="16"/>
                            <w:szCs w:val="21"/>
                            <w:lang w:eastAsia="ru-RU"/>
                          </w:rPr>
                          <w:br/>
                          <w:t>Обеспечение исполнения договора в размере: 2 %</w:t>
                        </w:r>
                        <w:r w:rsidRPr="00D7683A">
                          <w:rPr>
                            <w:rFonts w:ascii="Arial" w:eastAsia="Times New Roman" w:hAnsi="Arial" w:cs="Arial"/>
                            <w:color w:val="000000"/>
                            <w:sz w:val="16"/>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D7683A">
                          <w:rPr>
                            <w:rFonts w:ascii="Arial" w:eastAsia="Times New Roman" w:hAnsi="Arial" w:cs="Arial"/>
                            <w:color w:val="000000"/>
                            <w:sz w:val="16"/>
                            <w:szCs w:val="21"/>
                            <w:lang w:eastAsia="ru-RU"/>
                          </w:rPr>
                          <w:br/>
                          <w:t>Обеспечение исполнения договора должно быть предоставлено Заказчику до даты заключения договора.</w:t>
                        </w:r>
                        <w:r w:rsidRPr="00D7683A">
                          <w:rPr>
                            <w:rFonts w:ascii="Arial" w:eastAsia="Times New Roman" w:hAnsi="Arial" w:cs="Arial"/>
                            <w:color w:val="000000"/>
                            <w:sz w:val="16"/>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D7683A">
                          <w:rPr>
                            <w:rFonts w:ascii="Arial" w:eastAsia="Times New Roman" w:hAnsi="Arial" w:cs="Arial"/>
                            <w:color w:val="000000"/>
                            <w:sz w:val="16"/>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D7683A">
                          <w:rPr>
                            <w:rFonts w:ascii="Arial" w:eastAsia="Times New Roman" w:hAnsi="Arial" w:cs="Arial"/>
                            <w:color w:val="000000"/>
                            <w:sz w:val="16"/>
                            <w:szCs w:val="21"/>
                            <w:lang w:eastAsia="ru-RU"/>
                          </w:rPr>
                          <w:br/>
                          <w:t>Участник должен обладать необходимыми кадровыми ресурсами в соответствии с требованиями Технического задания:</w:t>
                        </w:r>
                        <w:r w:rsidRPr="00D7683A">
                          <w:rPr>
                            <w:rFonts w:ascii="Arial" w:eastAsia="Times New Roman" w:hAnsi="Arial" w:cs="Arial"/>
                            <w:color w:val="000000"/>
                            <w:sz w:val="16"/>
                            <w:szCs w:val="21"/>
                            <w:lang w:eastAsia="ru-RU"/>
                          </w:rPr>
                          <w:br/>
                          <w:t>- уборщик территории (дворник)- не менее 7 чел.;</w:t>
                        </w:r>
                        <w:r w:rsidRPr="00D7683A">
                          <w:rPr>
                            <w:rFonts w:ascii="Arial" w:eastAsia="Times New Roman" w:hAnsi="Arial" w:cs="Arial"/>
                            <w:color w:val="000000"/>
                            <w:sz w:val="16"/>
                            <w:szCs w:val="21"/>
                            <w:lang w:eastAsia="ru-RU"/>
                          </w:rPr>
                          <w:br/>
                          <w:t>- уборщик помещений - не менее 18 чел. (15 чел. с 1 группой по электробезопасности, 3 чел. со 2 группой по электробезопасности);</w:t>
                        </w:r>
                        <w:proofErr w:type="gramEnd"/>
                        <w:r w:rsidRPr="00D7683A">
                          <w:rPr>
                            <w:rFonts w:ascii="Arial" w:eastAsia="Times New Roman" w:hAnsi="Arial" w:cs="Arial"/>
                            <w:color w:val="000000"/>
                            <w:sz w:val="16"/>
                            <w:szCs w:val="21"/>
                            <w:lang w:eastAsia="ru-RU"/>
                          </w:rPr>
                          <w:br/>
                          <w:t>- водитель категории</w:t>
                        </w:r>
                        <w:proofErr w:type="gramStart"/>
                        <w:r w:rsidRPr="00D7683A">
                          <w:rPr>
                            <w:rFonts w:ascii="Arial" w:eastAsia="Times New Roman" w:hAnsi="Arial" w:cs="Arial"/>
                            <w:color w:val="000000"/>
                            <w:sz w:val="16"/>
                            <w:szCs w:val="21"/>
                            <w:lang w:eastAsia="ru-RU"/>
                          </w:rPr>
                          <w:t xml:space="preserve"> С</w:t>
                        </w:r>
                        <w:proofErr w:type="gramEnd"/>
                        <w:r w:rsidRPr="00D7683A">
                          <w:rPr>
                            <w:rFonts w:ascii="Arial" w:eastAsia="Times New Roman" w:hAnsi="Arial" w:cs="Arial"/>
                            <w:color w:val="000000"/>
                            <w:sz w:val="16"/>
                            <w:szCs w:val="21"/>
                            <w:lang w:eastAsia="ru-RU"/>
                          </w:rPr>
                          <w:t xml:space="preserve"> - не менее 3 чел.</w:t>
                        </w:r>
                        <w:r w:rsidRPr="00D7683A">
                          <w:rPr>
                            <w:rFonts w:ascii="Arial" w:eastAsia="Times New Roman" w:hAnsi="Arial" w:cs="Arial"/>
                            <w:color w:val="000000"/>
                            <w:sz w:val="16"/>
                            <w:szCs w:val="21"/>
                            <w:lang w:eastAsia="ru-RU"/>
                          </w:rPr>
                          <w:br/>
                          <w:t>- машинист по стирке белья - не менее 1 чел.;</w:t>
                        </w:r>
                        <w:r w:rsidRPr="00D7683A">
                          <w:rPr>
                            <w:rFonts w:ascii="Arial" w:eastAsia="Times New Roman" w:hAnsi="Arial" w:cs="Arial"/>
                            <w:color w:val="000000"/>
                            <w:sz w:val="16"/>
                            <w:szCs w:val="21"/>
                            <w:lang w:eastAsia="ru-RU"/>
                          </w:rPr>
                          <w:br/>
                          <w:t xml:space="preserve">Персонал, привлекаемый для работ по договору, должен иметь гражданство РФ; не должен иметь непогашенную судимость за совершение преступных деяний, ответственность за которые предусмотрена Уголовным кодексом РФ, и/или быть подвергнутым административному наказанию за совершение административных </w:t>
                        </w:r>
                        <w:r w:rsidRPr="00D7683A">
                          <w:rPr>
                            <w:rFonts w:ascii="Arial" w:eastAsia="Times New Roman" w:hAnsi="Arial" w:cs="Arial"/>
                            <w:color w:val="000000"/>
                            <w:sz w:val="16"/>
                            <w:szCs w:val="21"/>
                            <w:lang w:eastAsia="ru-RU"/>
                          </w:rPr>
                          <w:lastRenderedPageBreak/>
                          <w:t xml:space="preserve">правонарушений, предусмотренных </w:t>
                        </w:r>
                        <w:proofErr w:type="spellStart"/>
                        <w:r w:rsidRPr="00D7683A">
                          <w:rPr>
                            <w:rFonts w:ascii="Arial" w:eastAsia="Times New Roman" w:hAnsi="Arial" w:cs="Arial"/>
                            <w:color w:val="000000"/>
                            <w:sz w:val="16"/>
                            <w:szCs w:val="21"/>
                            <w:lang w:eastAsia="ru-RU"/>
                          </w:rPr>
                          <w:t>ст.ст</w:t>
                        </w:r>
                        <w:proofErr w:type="spellEnd"/>
                        <w:r w:rsidRPr="00D7683A">
                          <w:rPr>
                            <w:rFonts w:ascii="Arial" w:eastAsia="Times New Roman" w:hAnsi="Arial" w:cs="Arial"/>
                            <w:color w:val="000000"/>
                            <w:sz w:val="16"/>
                            <w:szCs w:val="21"/>
                            <w:lang w:eastAsia="ru-RU"/>
                          </w:rPr>
                          <w:t>. 20.1, 20.21,20.22 КоАП РФ; не должен состоять на учете в психоневрологическом диспансере.</w:t>
                        </w:r>
                        <w:r w:rsidRPr="00D7683A">
                          <w:rPr>
                            <w:rFonts w:ascii="Arial" w:eastAsia="Times New Roman" w:hAnsi="Arial" w:cs="Arial"/>
                            <w:color w:val="000000"/>
                            <w:sz w:val="16"/>
                            <w:szCs w:val="21"/>
                            <w:lang w:eastAsia="ru-RU"/>
                          </w:rPr>
                          <w:br/>
                          <w:t xml:space="preserve">Персонал Участника должен пройти </w:t>
                        </w:r>
                        <w:proofErr w:type="gramStart"/>
                        <w:r w:rsidRPr="00D7683A">
                          <w:rPr>
                            <w:rFonts w:ascii="Arial" w:eastAsia="Times New Roman" w:hAnsi="Arial" w:cs="Arial"/>
                            <w:color w:val="000000"/>
                            <w:sz w:val="16"/>
                            <w:szCs w:val="21"/>
                            <w:lang w:eastAsia="ru-RU"/>
                          </w:rPr>
                          <w:t>обучение по безопасности</w:t>
                        </w:r>
                        <w:proofErr w:type="gramEnd"/>
                        <w:r w:rsidRPr="00D7683A">
                          <w:rPr>
                            <w:rFonts w:ascii="Arial" w:eastAsia="Times New Roman" w:hAnsi="Arial" w:cs="Arial"/>
                            <w:color w:val="000000"/>
                            <w:sz w:val="16"/>
                            <w:szCs w:val="21"/>
                            <w:lang w:eastAsia="ru-RU"/>
                          </w:rPr>
                          <w:t xml:space="preserve"> труда, проверку знаний общих требований промышленной безопасности, иметь 1 группу по электробезопасности (весь привлекаемый персонал) и средства индивидуальной защиты от общих производственных загрязнений для выполнения работ по договору. Кроме того участник должен иметь персонал (не менее 3-х человек из общего числа привлекаемого персонала) с группой 2 по электробезопасности, осуществляющих уборку </w:t>
                        </w:r>
                        <w:proofErr w:type="spellStart"/>
                        <w:r w:rsidRPr="00D7683A">
                          <w:rPr>
                            <w:rFonts w:ascii="Arial" w:eastAsia="Times New Roman" w:hAnsi="Arial" w:cs="Arial"/>
                            <w:color w:val="000000"/>
                            <w:sz w:val="16"/>
                            <w:szCs w:val="21"/>
                            <w:lang w:eastAsia="ru-RU"/>
                          </w:rPr>
                          <w:t>электропомещений</w:t>
                        </w:r>
                        <w:proofErr w:type="spellEnd"/>
                        <w:r w:rsidRPr="00D7683A">
                          <w:rPr>
                            <w:rFonts w:ascii="Arial" w:eastAsia="Times New Roman" w:hAnsi="Arial" w:cs="Arial"/>
                            <w:color w:val="000000"/>
                            <w:sz w:val="16"/>
                            <w:szCs w:val="21"/>
                            <w:lang w:eastAsia="ru-RU"/>
                          </w:rPr>
                          <w:t xml:space="preserve"> с электрооборудованием напряжением до 1000В (требования ПОТ ЭЭ). </w:t>
                        </w:r>
                        <w:r w:rsidRPr="00D7683A">
                          <w:rPr>
                            <w:rFonts w:ascii="Arial" w:eastAsia="Times New Roman" w:hAnsi="Arial" w:cs="Arial"/>
                            <w:color w:val="000000"/>
                            <w:sz w:val="16"/>
                            <w:szCs w:val="21"/>
                            <w:lang w:eastAsia="ru-RU"/>
                          </w:rPr>
                          <w:br/>
                          <w:t>Персонал Участника должен пройти обучение и иметь допуск для работы на высоте не менее 3 чел. (требования правил по ОТ при работе на высоте)</w:t>
                        </w:r>
                        <w:r w:rsidRPr="00D7683A">
                          <w:rPr>
                            <w:rFonts w:ascii="Arial" w:eastAsia="Times New Roman" w:hAnsi="Arial" w:cs="Arial"/>
                            <w:color w:val="000000"/>
                            <w:sz w:val="16"/>
                            <w:szCs w:val="21"/>
                            <w:lang w:eastAsia="ru-RU"/>
                          </w:rPr>
                          <w:br/>
                          <w:t xml:space="preserve">Участник должен иметь аттестованную в органах </w:t>
                        </w:r>
                        <w:proofErr w:type="spellStart"/>
                        <w:r w:rsidRPr="00D7683A">
                          <w:rPr>
                            <w:rFonts w:ascii="Arial" w:eastAsia="Times New Roman" w:hAnsi="Arial" w:cs="Arial"/>
                            <w:color w:val="000000"/>
                            <w:sz w:val="16"/>
                            <w:szCs w:val="21"/>
                            <w:lang w:eastAsia="ru-RU"/>
                          </w:rPr>
                          <w:t>Ростехнадзора</w:t>
                        </w:r>
                        <w:proofErr w:type="spellEnd"/>
                        <w:r w:rsidRPr="00D7683A">
                          <w:rPr>
                            <w:rFonts w:ascii="Arial" w:eastAsia="Times New Roman" w:hAnsi="Arial" w:cs="Arial"/>
                            <w:color w:val="000000"/>
                            <w:sz w:val="16"/>
                            <w:szCs w:val="21"/>
                            <w:lang w:eastAsia="ru-RU"/>
                          </w:rPr>
                          <w:t xml:space="preserve"> комиссию для проверки знаний у электротехнического и </w:t>
                        </w:r>
                        <w:proofErr w:type="spellStart"/>
                        <w:r w:rsidRPr="00D7683A">
                          <w:rPr>
                            <w:rFonts w:ascii="Arial" w:eastAsia="Times New Roman" w:hAnsi="Arial" w:cs="Arial"/>
                            <w:color w:val="000000"/>
                            <w:sz w:val="16"/>
                            <w:szCs w:val="21"/>
                            <w:lang w:eastAsia="ru-RU"/>
                          </w:rPr>
                          <w:t>электротехнологического</w:t>
                        </w:r>
                        <w:proofErr w:type="spellEnd"/>
                        <w:r w:rsidRPr="00D7683A">
                          <w:rPr>
                            <w:rFonts w:ascii="Arial" w:eastAsia="Times New Roman" w:hAnsi="Arial" w:cs="Arial"/>
                            <w:color w:val="000000"/>
                            <w:sz w:val="16"/>
                            <w:szCs w:val="21"/>
                            <w:lang w:eastAsia="ru-RU"/>
                          </w:rPr>
                          <w:t xml:space="preserve"> персонала </w:t>
                        </w:r>
                        <w:r w:rsidRPr="00D7683A">
                          <w:rPr>
                            <w:rFonts w:ascii="Arial" w:eastAsia="Times New Roman" w:hAnsi="Arial" w:cs="Arial"/>
                            <w:color w:val="000000"/>
                            <w:sz w:val="16"/>
                            <w:szCs w:val="21"/>
                            <w:lang w:eastAsia="ru-RU"/>
                          </w:rPr>
                          <w:br/>
                          <w:t xml:space="preserve">Участник должен обладать необходимыми основными машинами и механизмами: </w:t>
                        </w:r>
                        <w:r w:rsidRPr="00D7683A">
                          <w:rPr>
                            <w:rFonts w:ascii="Arial" w:eastAsia="Times New Roman" w:hAnsi="Arial" w:cs="Arial"/>
                            <w:color w:val="000000"/>
                            <w:sz w:val="16"/>
                            <w:szCs w:val="21"/>
                            <w:lang w:eastAsia="ru-RU"/>
                          </w:rPr>
                          <w:br/>
                          <w:t xml:space="preserve">- фронтальный погрузчик МКСМ - 800 или аналог </w:t>
                        </w:r>
                        <w:proofErr w:type="gramStart"/>
                        <w:r w:rsidRPr="00D7683A">
                          <w:rPr>
                            <w:rFonts w:ascii="Arial" w:eastAsia="Times New Roman" w:hAnsi="Arial" w:cs="Arial"/>
                            <w:color w:val="000000"/>
                            <w:sz w:val="16"/>
                            <w:szCs w:val="21"/>
                            <w:lang w:eastAsia="ru-RU"/>
                          </w:rPr>
                          <w:t xml:space="preserve">( </w:t>
                        </w:r>
                        <w:proofErr w:type="gramEnd"/>
                        <w:r w:rsidRPr="00D7683A">
                          <w:rPr>
                            <w:rFonts w:ascii="Arial" w:eastAsia="Times New Roman" w:hAnsi="Arial" w:cs="Arial"/>
                            <w:color w:val="000000"/>
                            <w:sz w:val="16"/>
                            <w:szCs w:val="21"/>
                            <w:lang w:eastAsia="ru-RU"/>
                          </w:rPr>
                          <w:t>с наличием навесного оборудования: Ковш основной, отвал поворотный, разбрасыватель, снегоочиститель, уборочная машина) - не менее 1 шт.</w:t>
                        </w:r>
                        <w:r w:rsidRPr="00D7683A">
                          <w:rPr>
                            <w:rFonts w:ascii="Arial" w:eastAsia="Times New Roman" w:hAnsi="Arial" w:cs="Arial"/>
                            <w:color w:val="000000"/>
                            <w:sz w:val="16"/>
                            <w:szCs w:val="21"/>
                            <w:lang w:eastAsia="ru-RU"/>
                          </w:rPr>
                          <w:br/>
                          <w:t>- погрузчик «</w:t>
                        </w:r>
                        <w:proofErr w:type="spellStart"/>
                        <w:r w:rsidRPr="00D7683A">
                          <w:rPr>
                            <w:rFonts w:ascii="Arial" w:eastAsia="Times New Roman" w:hAnsi="Arial" w:cs="Arial"/>
                            <w:color w:val="000000"/>
                            <w:sz w:val="16"/>
                            <w:szCs w:val="21"/>
                            <w:lang w:eastAsia="ru-RU"/>
                          </w:rPr>
                          <w:t>Амкодор</w:t>
                        </w:r>
                        <w:proofErr w:type="spellEnd"/>
                        <w:r w:rsidRPr="00D7683A">
                          <w:rPr>
                            <w:rFonts w:ascii="Arial" w:eastAsia="Times New Roman" w:hAnsi="Arial" w:cs="Arial"/>
                            <w:color w:val="000000"/>
                            <w:sz w:val="16"/>
                            <w:szCs w:val="21"/>
                            <w:lang w:eastAsia="ru-RU"/>
                          </w:rPr>
                          <w:t>», или аналог - не менее 1 шт.</w:t>
                        </w:r>
                        <w:r w:rsidRPr="00D7683A">
                          <w:rPr>
                            <w:rFonts w:ascii="Arial" w:eastAsia="Times New Roman" w:hAnsi="Arial" w:cs="Arial"/>
                            <w:color w:val="000000"/>
                            <w:sz w:val="16"/>
                            <w:szCs w:val="21"/>
                            <w:lang w:eastAsia="ru-RU"/>
                          </w:rPr>
                          <w:br/>
                          <w:t>- самосвал «КАМАЗ», или аналог - не менее 2 шт.</w:t>
                        </w:r>
                        <w:r w:rsidRPr="00D7683A">
                          <w:rPr>
                            <w:rFonts w:ascii="Arial" w:eastAsia="Times New Roman" w:hAnsi="Arial" w:cs="Arial"/>
                            <w:color w:val="000000"/>
                            <w:sz w:val="16"/>
                            <w:szCs w:val="21"/>
                            <w:lang w:eastAsia="ru-RU"/>
                          </w:rPr>
                          <w:br/>
                          <w:t>- автогидроподъемник (АГП) на базе «КАМАЗ», или анало</w:t>
                        </w:r>
                        <w:proofErr w:type="gramStart"/>
                        <w:r w:rsidRPr="00D7683A">
                          <w:rPr>
                            <w:rFonts w:ascii="Arial" w:eastAsia="Times New Roman" w:hAnsi="Arial" w:cs="Arial"/>
                            <w:color w:val="000000"/>
                            <w:sz w:val="16"/>
                            <w:szCs w:val="21"/>
                            <w:lang w:eastAsia="ru-RU"/>
                          </w:rPr>
                          <w:t>г-</w:t>
                        </w:r>
                        <w:proofErr w:type="gramEnd"/>
                        <w:r w:rsidRPr="00D7683A">
                          <w:rPr>
                            <w:rFonts w:ascii="Arial" w:eastAsia="Times New Roman" w:hAnsi="Arial" w:cs="Arial"/>
                            <w:color w:val="000000"/>
                            <w:sz w:val="16"/>
                            <w:szCs w:val="21"/>
                            <w:lang w:eastAsia="ru-RU"/>
                          </w:rPr>
                          <w:t xml:space="preserve"> не менее 1 шт.</w:t>
                        </w:r>
                        <w:r w:rsidRPr="00D7683A">
                          <w:rPr>
                            <w:rFonts w:ascii="Arial" w:eastAsia="Times New Roman" w:hAnsi="Arial" w:cs="Arial"/>
                            <w:color w:val="000000"/>
                            <w:sz w:val="16"/>
                            <w:szCs w:val="21"/>
                            <w:lang w:eastAsia="ru-RU"/>
                          </w:rPr>
                          <w:br/>
                          <w:t>- машина для шлифования мраморных поверхностей - не менее 1 шт.</w:t>
                        </w:r>
                        <w:r w:rsidRPr="00D7683A">
                          <w:rPr>
                            <w:rFonts w:ascii="Arial" w:eastAsia="Times New Roman" w:hAnsi="Arial" w:cs="Arial"/>
                            <w:color w:val="000000"/>
                            <w:sz w:val="16"/>
                            <w:szCs w:val="21"/>
                            <w:lang w:eastAsia="ru-RU"/>
                          </w:rPr>
                          <w:br/>
                          <w:t>- телескопический кусторез - не менее1 шт.</w:t>
                        </w:r>
                        <w:r w:rsidRPr="00D7683A">
                          <w:rPr>
                            <w:rFonts w:ascii="Arial" w:eastAsia="Times New Roman" w:hAnsi="Arial" w:cs="Arial"/>
                            <w:color w:val="000000"/>
                            <w:sz w:val="16"/>
                            <w:szCs w:val="21"/>
                            <w:lang w:eastAsia="ru-RU"/>
                          </w:rPr>
                          <w:br/>
                          <w:t>- секатор плоскостной – не менее 2 шт.</w:t>
                        </w:r>
                        <w:r w:rsidRPr="00D7683A">
                          <w:rPr>
                            <w:rFonts w:ascii="Arial" w:eastAsia="Times New Roman" w:hAnsi="Arial" w:cs="Arial"/>
                            <w:color w:val="000000"/>
                            <w:sz w:val="16"/>
                            <w:szCs w:val="21"/>
                            <w:lang w:eastAsia="ru-RU"/>
                          </w:rPr>
                          <w:br/>
                          <w:t xml:space="preserve">- </w:t>
                        </w:r>
                        <w:proofErr w:type="spellStart"/>
                        <w:r w:rsidRPr="00D7683A">
                          <w:rPr>
                            <w:rFonts w:ascii="Arial" w:eastAsia="Times New Roman" w:hAnsi="Arial" w:cs="Arial"/>
                            <w:color w:val="000000"/>
                            <w:sz w:val="16"/>
                            <w:szCs w:val="21"/>
                            <w:lang w:eastAsia="ru-RU"/>
                          </w:rPr>
                          <w:t>бензокоса</w:t>
                        </w:r>
                        <w:proofErr w:type="spellEnd"/>
                        <w:r w:rsidRPr="00D7683A">
                          <w:rPr>
                            <w:rFonts w:ascii="Arial" w:eastAsia="Times New Roman" w:hAnsi="Arial" w:cs="Arial"/>
                            <w:color w:val="000000"/>
                            <w:sz w:val="16"/>
                            <w:szCs w:val="21"/>
                            <w:lang w:eastAsia="ru-RU"/>
                          </w:rPr>
                          <w:t xml:space="preserve"> «ЕСНО» или аналог – не менее 2 шт.</w:t>
                        </w:r>
                        <w:r w:rsidRPr="00D7683A">
                          <w:rPr>
                            <w:rFonts w:ascii="Arial" w:eastAsia="Times New Roman" w:hAnsi="Arial" w:cs="Arial"/>
                            <w:color w:val="000000"/>
                            <w:sz w:val="16"/>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 xml:space="preserve">Показатель финансовой устойчивости стоимость чистых активов (СЧА) должен иметь значение &gt;0 </w:t>
                        </w:r>
                        <w:r w:rsidRPr="00D7683A">
                          <w:rPr>
                            <w:rFonts w:ascii="Arial" w:eastAsia="Times New Roman" w:hAnsi="Arial" w:cs="Arial"/>
                            <w:color w:val="000000"/>
                            <w:sz w:val="16"/>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7683A">
                          <w:rPr>
                            <w:rFonts w:ascii="Arial" w:eastAsia="Times New Roman" w:hAnsi="Arial" w:cs="Arial"/>
                            <w:color w:val="000000"/>
                            <w:sz w:val="16"/>
                            <w:szCs w:val="21"/>
                            <w:lang w:eastAsia="ru-RU"/>
                          </w:rPr>
                          <w:br/>
                          <w:t xml:space="preserve">СЧА= стр.1600-стр.1400-стр.1500, </w:t>
                        </w:r>
                        <w:r w:rsidRPr="00D7683A">
                          <w:rPr>
                            <w:rFonts w:ascii="Arial" w:eastAsia="Times New Roman" w:hAnsi="Arial" w:cs="Arial"/>
                            <w:color w:val="000000"/>
                            <w:sz w:val="16"/>
                            <w:szCs w:val="21"/>
                            <w:lang w:eastAsia="ru-RU"/>
                          </w:rPr>
                          <w:br/>
                          <w:t>при этом в расчет принимается стоимость фактически ликвидных активов (</w:t>
                        </w:r>
                        <w:proofErr w:type="gramStart"/>
                        <w:r w:rsidRPr="00D7683A">
                          <w:rPr>
                            <w:rFonts w:ascii="Arial" w:eastAsia="Times New Roman" w:hAnsi="Arial" w:cs="Arial"/>
                            <w:color w:val="000000"/>
                            <w:sz w:val="16"/>
                            <w:szCs w:val="21"/>
                            <w:lang w:eastAsia="ru-RU"/>
                          </w:rPr>
                          <w:t>активы</w:t>
                        </w:r>
                        <w:proofErr w:type="gramEnd"/>
                        <w:r w:rsidRPr="00D7683A">
                          <w:rPr>
                            <w:rFonts w:ascii="Arial" w:eastAsia="Times New Roman" w:hAnsi="Arial" w:cs="Arial"/>
                            <w:color w:val="000000"/>
                            <w:sz w:val="16"/>
                            <w:szCs w:val="21"/>
                            <w:lang w:eastAsia="ru-RU"/>
                          </w:rPr>
                          <w:t xml:space="preserve"> имеющие рыночную стоимость не ниже балансовой). </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Показатель финансовой устойчивости коэффициент соизмеримости (КСВ) должен иметь значение ≥ 0,5</w:t>
                        </w:r>
                        <w:r w:rsidRPr="00D7683A">
                          <w:rPr>
                            <w:rFonts w:ascii="Arial" w:eastAsia="Times New Roman" w:hAnsi="Arial" w:cs="Arial"/>
                            <w:color w:val="000000"/>
                            <w:sz w:val="16"/>
                            <w:szCs w:val="21"/>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w:t>
                        </w:r>
                        <w:proofErr w:type="spellStart"/>
                        <w:r w:rsidRPr="00D7683A">
                          <w:rPr>
                            <w:rFonts w:ascii="Arial" w:eastAsia="Times New Roman" w:hAnsi="Arial" w:cs="Arial"/>
                            <w:color w:val="000000"/>
                            <w:sz w:val="16"/>
                            <w:szCs w:val="21"/>
                            <w:lang w:eastAsia="ru-RU"/>
                          </w:rPr>
                          <w:t>формуле:KCB</w:t>
                        </w:r>
                        <w:proofErr w:type="spellEnd"/>
                        <w:r w:rsidRPr="00D7683A">
                          <w:rPr>
                            <w:rFonts w:ascii="Arial" w:eastAsia="Times New Roman" w:hAnsi="Arial" w:cs="Arial"/>
                            <w:color w:val="000000"/>
                            <w:sz w:val="16"/>
                            <w:szCs w:val="21"/>
                            <w:lang w:eastAsia="ru-RU"/>
                          </w:rPr>
                          <w:t>=V/B:S/P,</w:t>
                        </w:r>
                        <w:r w:rsidRPr="00D7683A">
                          <w:rPr>
                            <w:rFonts w:ascii="Arial" w:eastAsia="Times New Roman" w:hAnsi="Arial" w:cs="Arial"/>
                            <w:color w:val="000000"/>
                            <w:sz w:val="16"/>
                            <w:szCs w:val="21"/>
                            <w:lang w:eastAsia="ru-RU"/>
                          </w:rPr>
                          <w:br/>
                          <w:t>,</w:t>
                        </w:r>
                        <w:r w:rsidRPr="00D7683A">
                          <w:rPr>
                            <w:rFonts w:ascii="Arial" w:eastAsia="Times New Roman" w:hAnsi="Arial" w:cs="Arial"/>
                            <w:color w:val="000000"/>
                            <w:sz w:val="16"/>
                            <w:szCs w:val="21"/>
                            <w:lang w:eastAsia="ru-RU"/>
                          </w:rPr>
                          <w:br/>
                          <w:t>где V – сумма показателей выручки за последний завершенный период (год) и за текущий год на отчетную дату;</w:t>
                        </w:r>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Р</w:t>
                        </w:r>
                        <w:proofErr w:type="gramEnd"/>
                        <w:r w:rsidRPr="00D7683A">
                          <w:rPr>
                            <w:rFonts w:ascii="Arial" w:eastAsia="Times New Roman" w:hAnsi="Arial" w:cs="Arial"/>
                            <w:color w:val="000000"/>
                            <w:sz w:val="16"/>
                            <w:szCs w:val="21"/>
                            <w:lang w:eastAsia="ru-RU"/>
                          </w:rPr>
                          <w:t xml:space="preserve"> – период выполнения обязательств по договору (в месяцах),</w:t>
                        </w:r>
                        <w:r w:rsidRPr="00D7683A">
                          <w:rPr>
                            <w:rFonts w:ascii="Arial" w:eastAsia="Times New Roman" w:hAnsi="Arial" w:cs="Arial"/>
                            <w:color w:val="000000"/>
                            <w:sz w:val="16"/>
                            <w:szCs w:val="21"/>
                            <w:lang w:eastAsia="ru-RU"/>
                          </w:rPr>
                          <w:br/>
                          <w:t>В – количество месяцев в периоде, в котором сформирован показатель V</w:t>
                        </w:r>
                        <w:r w:rsidRPr="00D7683A">
                          <w:rPr>
                            <w:rFonts w:ascii="Arial" w:eastAsia="Times New Roman" w:hAnsi="Arial" w:cs="Arial"/>
                            <w:color w:val="000000"/>
                            <w:sz w:val="16"/>
                            <w:szCs w:val="21"/>
                            <w:lang w:eastAsia="ru-RU"/>
                          </w:rPr>
                          <w:br/>
                          <w:t>S – сумма договора (без НДС)</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Подробная информация указана в Методике оценки финансовой устойчивости Участников закупки (приложение ___ к Закупочной документации)</w:t>
                        </w:r>
                        <w:r w:rsidRPr="00D7683A">
                          <w:rPr>
                            <w:rFonts w:ascii="Arial" w:eastAsia="Times New Roman" w:hAnsi="Arial" w:cs="Arial"/>
                            <w:color w:val="000000"/>
                            <w:sz w:val="16"/>
                            <w:szCs w:val="21"/>
                            <w:lang w:eastAsia="ru-RU"/>
                          </w:rPr>
                          <w:br/>
                          <w:t>Техническое и коммерческое предложения должны соответствовать требованиям Заказчика</w:t>
                        </w:r>
                        <w:r w:rsidRPr="00D7683A">
                          <w:rPr>
                            <w:rFonts w:ascii="Arial" w:eastAsia="Times New Roman" w:hAnsi="Arial" w:cs="Arial"/>
                            <w:color w:val="000000"/>
                            <w:sz w:val="16"/>
                            <w:szCs w:val="21"/>
                            <w:lang w:eastAsia="ru-RU"/>
                          </w:rPr>
                          <w:br/>
                          <w:t>Требования к благонадежности Участника, членам коллективного Участника, субподрядчика (соисполнителя/субпоставщика)</w:t>
                        </w:r>
                        <w:r w:rsidRPr="00D7683A">
                          <w:rPr>
                            <w:rFonts w:ascii="Arial" w:eastAsia="Times New Roman" w:hAnsi="Arial" w:cs="Arial"/>
                            <w:color w:val="000000"/>
                            <w:sz w:val="16"/>
                            <w:szCs w:val="21"/>
                            <w:lang w:eastAsia="ru-RU"/>
                          </w:rPr>
                          <w:br/>
                          <w:t xml:space="preserve">а) Участник, в составе письма </w:t>
                        </w:r>
                        <w:proofErr w:type="gramStart"/>
                        <w:r w:rsidRPr="00D7683A">
                          <w:rPr>
                            <w:rFonts w:ascii="Arial" w:eastAsia="Times New Roman" w:hAnsi="Arial" w:cs="Arial"/>
                            <w:color w:val="000000"/>
                            <w:sz w:val="16"/>
                            <w:szCs w:val="21"/>
                            <w:lang w:eastAsia="ru-RU"/>
                          </w:rPr>
                          <w:t>о подаче оферты (форма 1), должен дать согласие на проведение проверки благонадежности Службой экономической безопасности АО «Тюменьэнерго»;</w:t>
                        </w:r>
                        <w:r w:rsidRPr="00D7683A">
                          <w:rPr>
                            <w:rFonts w:ascii="Arial" w:eastAsia="Times New Roman" w:hAnsi="Arial" w:cs="Arial"/>
                            <w:color w:val="000000"/>
                            <w:sz w:val="16"/>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7683A">
                          <w:rPr>
                            <w:rFonts w:ascii="Arial" w:eastAsia="Times New Roman" w:hAnsi="Arial" w:cs="Arial"/>
                            <w:color w:val="000000"/>
                            <w:sz w:val="16"/>
                            <w:szCs w:val="21"/>
                            <w:lang w:eastAsia="ru-RU"/>
                          </w:rPr>
                          <w:br/>
                          <w:t>в) деятельность Участника должна быть безубыточной за последний завершенный год;</w:t>
                        </w:r>
                        <w:proofErr w:type="gramEnd"/>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г) экономическая деятельность Участника не должна быть приостановлена в административном порядке;</w:t>
                        </w:r>
                        <w:r w:rsidRPr="00D7683A">
                          <w:rPr>
                            <w:rFonts w:ascii="Arial" w:eastAsia="Times New Roman" w:hAnsi="Arial" w:cs="Arial"/>
                            <w:color w:val="000000"/>
                            <w:sz w:val="16"/>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D7683A">
                          <w:rPr>
                            <w:rFonts w:ascii="Arial" w:eastAsia="Times New Roman" w:hAnsi="Arial" w:cs="Arial"/>
                            <w:color w:val="000000"/>
                            <w:sz w:val="16"/>
                            <w:szCs w:val="21"/>
                            <w:lang w:eastAsia="ru-RU"/>
                          </w:rPr>
                          <w:br/>
                          <w:t>е) на имущество Участника не должен быть наложен арест;</w:t>
                        </w:r>
                        <w:proofErr w:type="gramEnd"/>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7683A">
                          <w:rPr>
                            <w:rFonts w:ascii="Arial" w:eastAsia="Times New Roman" w:hAnsi="Arial" w:cs="Arial"/>
                            <w:color w:val="000000"/>
                            <w:sz w:val="16"/>
                            <w:szCs w:val="21"/>
                            <w:lang w:eastAsia="ru-RU"/>
                          </w:rPr>
                          <w:br/>
                          <w:t>з) отсутствие сведений об Участнике закупки и привлекаемых им субподрядчиков в следующих реестрах:</w:t>
                        </w:r>
                        <w:r w:rsidRPr="00D7683A">
                          <w:rPr>
                            <w:rFonts w:ascii="Arial" w:eastAsia="Times New Roman" w:hAnsi="Arial" w:cs="Arial"/>
                            <w:color w:val="000000"/>
                            <w:sz w:val="16"/>
                            <w:szCs w:val="21"/>
                            <w:lang w:eastAsia="ru-RU"/>
                          </w:rPr>
                          <w:br/>
                          <w:t>- реестре недобросовестных поставщиков на электронном портале http://rnp.fas.gov.ru/;</w:t>
                        </w:r>
                        <w:proofErr w:type="gramEnd"/>
                        <w:r w:rsidRPr="00D7683A">
                          <w:rPr>
                            <w:rFonts w:ascii="Arial" w:eastAsia="Times New Roman" w:hAnsi="Arial" w:cs="Arial"/>
                            <w:color w:val="000000"/>
                            <w:sz w:val="16"/>
                            <w:szCs w:val="21"/>
                            <w:lang w:eastAsia="ru-RU"/>
                          </w:rPr>
                          <w:br/>
                          <w:t xml:space="preserve">- </w:t>
                        </w:r>
                        <w:proofErr w:type="gramStart"/>
                        <w:r w:rsidRPr="00D7683A">
                          <w:rPr>
                            <w:rFonts w:ascii="Arial" w:eastAsia="Times New Roman" w:hAnsi="Arial" w:cs="Arial"/>
                            <w:color w:val="000000"/>
                            <w:sz w:val="16"/>
                            <w:szCs w:val="21"/>
                            <w:lang w:eastAsia="ru-RU"/>
                          </w:rPr>
                          <w:t>едином федеральном реестре о банкротствах http://rosreestr.ru/;</w:t>
                        </w:r>
                        <w:r w:rsidRPr="00D7683A">
                          <w:rPr>
                            <w:rFonts w:ascii="Arial" w:eastAsia="Times New Roman" w:hAnsi="Arial" w:cs="Arial"/>
                            <w:color w:val="000000"/>
                            <w:sz w:val="16"/>
                            <w:szCs w:val="21"/>
                            <w:lang w:eastAsia="ru-RU"/>
                          </w:rPr>
                          <w:br/>
                          <w:t>- реестре о возбужденных исполнительных производствах на электронном портале http://fssprus.ru/;</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lastRenderedPageBreak/>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D7683A">
                          <w:rPr>
                            <w:rFonts w:ascii="Arial" w:eastAsia="Times New Roman" w:hAnsi="Arial" w:cs="Arial"/>
                            <w:color w:val="000000"/>
                            <w:sz w:val="16"/>
                            <w:szCs w:val="21"/>
                            <w:lang w:eastAsia="ru-RU"/>
                          </w:rPr>
                          <w:t>Россети</w:t>
                        </w:r>
                        <w:proofErr w:type="spellEnd"/>
                        <w:r w:rsidRPr="00D7683A">
                          <w:rPr>
                            <w:rFonts w:ascii="Arial" w:eastAsia="Times New Roman" w:hAnsi="Arial" w:cs="Arial"/>
                            <w:color w:val="000000"/>
                            <w:sz w:val="16"/>
                            <w:szCs w:val="21"/>
                            <w:lang w:eastAsia="ru-RU"/>
                          </w:rPr>
                          <w:t>», ДЗО (ВЗО) ПАО «</w:t>
                        </w:r>
                        <w:proofErr w:type="spellStart"/>
                        <w:r w:rsidRPr="00D7683A">
                          <w:rPr>
                            <w:rFonts w:ascii="Arial" w:eastAsia="Times New Roman" w:hAnsi="Arial" w:cs="Arial"/>
                            <w:color w:val="000000"/>
                            <w:sz w:val="16"/>
                            <w:szCs w:val="21"/>
                            <w:lang w:eastAsia="ru-RU"/>
                          </w:rPr>
                          <w:t>Россети</w:t>
                        </w:r>
                        <w:proofErr w:type="spellEnd"/>
                        <w:r w:rsidRPr="00D7683A">
                          <w:rPr>
                            <w:rFonts w:ascii="Arial" w:eastAsia="Times New Roman" w:hAnsi="Arial" w:cs="Arial"/>
                            <w:color w:val="000000"/>
                            <w:sz w:val="16"/>
                            <w:szCs w:val="21"/>
                            <w:lang w:eastAsia="ru-RU"/>
                          </w:rPr>
                          <w:t>», а также родственниками работников ПАО «</w:t>
                        </w:r>
                        <w:proofErr w:type="spellStart"/>
                        <w:r w:rsidRPr="00D7683A">
                          <w:rPr>
                            <w:rFonts w:ascii="Arial" w:eastAsia="Times New Roman" w:hAnsi="Arial" w:cs="Arial"/>
                            <w:color w:val="000000"/>
                            <w:sz w:val="16"/>
                            <w:szCs w:val="21"/>
                            <w:lang w:eastAsia="ru-RU"/>
                          </w:rPr>
                          <w:t>Россети</w:t>
                        </w:r>
                        <w:proofErr w:type="spellEnd"/>
                        <w:r w:rsidRPr="00D7683A">
                          <w:rPr>
                            <w:rFonts w:ascii="Arial" w:eastAsia="Times New Roman" w:hAnsi="Arial" w:cs="Arial"/>
                            <w:color w:val="000000"/>
                            <w:sz w:val="16"/>
                            <w:szCs w:val="21"/>
                            <w:lang w:eastAsia="ru-RU"/>
                          </w:rPr>
                          <w:t>», ДЗО (ВЗО) ПАО «</w:t>
                        </w:r>
                        <w:proofErr w:type="spellStart"/>
                        <w:r w:rsidRPr="00D7683A">
                          <w:rPr>
                            <w:rFonts w:ascii="Arial" w:eastAsia="Times New Roman" w:hAnsi="Arial" w:cs="Arial"/>
                            <w:color w:val="000000"/>
                            <w:sz w:val="16"/>
                            <w:szCs w:val="21"/>
                            <w:lang w:eastAsia="ru-RU"/>
                          </w:rPr>
                          <w:t>Россети</w:t>
                        </w:r>
                        <w:proofErr w:type="spellEnd"/>
                        <w:r w:rsidRPr="00D7683A">
                          <w:rPr>
                            <w:rFonts w:ascii="Arial" w:eastAsia="Times New Roman" w:hAnsi="Arial" w:cs="Arial"/>
                            <w:color w:val="000000"/>
                            <w:sz w:val="16"/>
                            <w:szCs w:val="21"/>
                            <w:lang w:eastAsia="ru-RU"/>
                          </w:rPr>
                          <w:t>»;</w:t>
                        </w:r>
                        <w:proofErr w:type="gramEnd"/>
                        <w:r w:rsidRPr="00D7683A">
                          <w:rPr>
                            <w:rFonts w:ascii="Arial" w:eastAsia="Times New Roman" w:hAnsi="Arial" w:cs="Arial"/>
                            <w:color w:val="000000"/>
                            <w:sz w:val="16"/>
                            <w:szCs w:val="21"/>
                            <w:lang w:eastAsia="ru-RU"/>
                          </w:rPr>
                          <w:br/>
                        </w:r>
                        <w:proofErr w:type="gramStart"/>
                        <w:r w:rsidRPr="00D7683A">
                          <w:rPr>
                            <w:rFonts w:ascii="Arial" w:eastAsia="Times New Roman" w:hAnsi="Arial" w:cs="Arial"/>
                            <w:color w:val="000000"/>
                            <w:sz w:val="16"/>
                            <w:szCs w:val="21"/>
                            <w:lang w:eastAsia="ru-RU"/>
                          </w:rPr>
                          <w:t>к) Участник не должен быть аффилирован к другим Участникам закупки;</w:t>
                        </w:r>
                        <w:r w:rsidRPr="00D7683A">
                          <w:rPr>
                            <w:rFonts w:ascii="Arial" w:eastAsia="Times New Roman" w:hAnsi="Arial" w:cs="Arial"/>
                            <w:color w:val="000000"/>
                            <w:sz w:val="16"/>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proofErr w:type="gramEnd"/>
                        <w:r w:rsidRPr="00D7683A">
                          <w:rPr>
                            <w:rFonts w:ascii="Arial" w:eastAsia="Times New Roman" w:hAnsi="Arial" w:cs="Arial"/>
                            <w:color w:val="000000"/>
                            <w:sz w:val="16"/>
                            <w:szCs w:val="21"/>
                            <w:lang w:eastAsia="ru-RU"/>
                          </w:rPr>
                          <w:br/>
                          <w:t>м) отсутствие сведений об исключении Участника из ЕГРЮЛ/ЕГРИП;</w:t>
                        </w:r>
                        <w:r w:rsidRPr="00D7683A">
                          <w:rPr>
                            <w:rFonts w:ascii="Arial" w:eastAsia="Times New Roman" w:hAnsi="Arial" w:cs="Arial"/>
                            <w:color w:val="000000"/>
                            <w:sz w:val="16"/>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w:t>
                        </w:r>
                        <w:proofErr w:type="gramStart"/>
                        <w:r w:rsidRPr="00D7683A">
                          <w:rPr>
                            <w:rFonts w:ascii="Arial" w:eastAsia="Times New Roman" w:hAnsi="Arial" w:cs="Arial"/>
                            <w:color w:val="000000"/>
                            <w:sz w:val="16"/>
                            <w:szCs w:val="21"/>
                            <w:lang w:eastAsia="ru-RU"/>
                          </w:rPr>
                          <w:t>о(</w:t>
                        </w:r>
                        <w:proofErr w:type="spellStart"/>
                        <w:proofErr w:type="gramEnd"/>
                        <w:r w:rsidRPr="00D7683A">
                          <w:rPr>
                            <w:rFonts w:ascii="Arial" w:eastAsia="Times New Roman" w:hAnsi="Arial" w:cs="Arial"/>
                            <w:color w:val="000000"/>
                            <w:sz w:val="16"/>
                            <w:szCs w:val="21"/>
                            <w:lang w:eastAsia="ru-RU"/>
                          </w:rPr>
                          <w:t>ых</w:t>
                        </w:r>
                        <w:proofErr w:type="spellEnd"/>
                        <w:r w:rsidRPr="00D7683A">
                          <w:rPr>
                            <w:rFonts w:ascii="Arial" w:eastAsia="Times New Roman" w:hAnsi="Arial" w:cs="Arial"/>
                            <w:color w:val="000000"/>
                            <w:sz w:val="16"/>
                            <w:szCs w:val="21"/>
                            <w:lang w:eastAsia="ru-RU"/>
                          </w:rPr>
                          <w:t>) с Участником закупки аналогичных предмету закупки договора(</w:t>
                        </w:r>
                        <w:proofErr w:type="spellStart"/>
                        <w:r w:rsidRPr="00D7683A">
                          <w:rPr>
                            <w:rFonts w:ascii="Arial" w:eastAsia="Times New Roman" w:hAnsi="Arial" w:cs="Arial"/>
                            <w:color w:val="000000"/>
                            <w:sz w:val="16"/>
                            <w:szCs w:val="21"/>
                            <w:lang w:eastAsia="ru-RU"/>
                          </w:rPr>
                          <w:t>ов</w:t>
                        </w:r>
                        <w:proofErr w:type="spellEnd"/>
                        <w:r w:rsidRPr="00D7683A">
                          <w:rPr>
                            <w:rFonts w:ascii="Arial" w:eastAsia="Times New Roman" w:hAnsi="Arial" w:cs="Arial"/>
                            <w:color w:val="000000"/>
                            <w:sz w:val="16"/>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w:t>
                        </w:r>
                        <w:proofErr w:type="gramStart"/>
                        <w:r w:rsidRPr="00D7683A">
                          <w:rPr>
                            <w:rFonts w:ascii="Arial" w:eastAsia="Times New Roman" w:hAnsi="Arial" w:cs="Arial"/>
                            <w:color w:val="000000"/>
                            <w:sz w:val="16"/>
                            <w:szCs w:val="21"/>
                            <w:lang w:eastAsia="ru-RU"/>
                          </w:rPr>
                          <w:t>о(</w:t>
                        </w:r>
                        <w:proofErr w:type="spellStart"/>
                        <w:proofErr w:type="gramEnd"/>
                        <w:r w:rsidRPr="00D7683A">
                          <w:rPr>
                            <w:rFonts w:ascii="Arial" w:eastAsia="Times New Roman" w:hAnsi="Arial" w:cs="Arial"/>
                            <w:color w:val="000000"/>
                            <w:sz w:val="16"/>
                            <w:szCs w:val="21"/>
                            <w:lang w:eastAsia="ru-RU"/>
                          </w:rPr>
                          <w:t>ых</w:t>
                        </w:r>
                        <w:proofErr w:type="spellEnd"/>
                        <w:r w:rsidRPr="00D7683A">
                          <w:rPr>
                            <w:rFonts w:ascii="Arial" w:eastAsia="Times New Roman" w:hAnsi="Arial" w:cs="Arial"/>
                            <w:color w:val="000000"/>
                            <w:sz w:val="16"/>
                            <w:szCs w:val="21"/>
                            <w:lang w:eastAsia="ru-RU"/>
                          </w:rPr>
                          <w:t>) с АО "Тюменьэнерго" аналогичных предмету закупки договора (</w:t>
                        </w:r>
                        <w:proofErr w:type="spellStart"/>
                        <w:r w:rsidRPr="00D7683A">
                          <w:rPr>
                            <w:rFonts w:ascii="Arial" w:eastAsia="Times New Roman" w:hAnsi="Arial" w:cs="Arial"/>
                            <w:color w:val="000000"/>
                            <w:sz w:val="16"/>
                            <w:szCs w:val="21"/>
                            <w:lang w:eastAsia="ru-RU"/>
                          </w:rPr>
                          <w:t>ов</w:t>
                        </w:r>
                        <w:proofErr w:type="spellEnd"/>
                        <w:r w:rsidRPr="00D7683A">
                          <w:rPr>
                            <w:rFonts w:ascii="Arial" w:eastAsia="Times New Roman" w:hAnsi="Arial" w:cs="Arial"/>
                            <w:color w:val="000000"/>
                            <w:sz w:val="16"/>
                            <w:szCs w:val="21"/>
                            <w:lang w:eastAsia="ru-RU"/>
                          </w:rPr>
                          <w:t>)</w:t>
                        </w:r>
                        <w:r w:rsidRPr="00D7683A">
                          <w:rPr>
                            <w:rFonts w:ascii="Arial" w:eastAsia="Times New Roman" w:hAnsi="Arial" w:cs="Arial"/>
                            <w:color w:val="000000"/>
                            <w:sz w:val="16"/>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D7683A">
                          <w:rPr>
                            <w:rFonts w:ascii="Arial" w:eastAsia="Times New Roman" w:hAnsi="Arial" w:cs="Arial"/>
                            <w:color w:val="000000"/>
                            <w:sz w:val="16"/>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lastRenderedPageBreak/>
                          <w:t>Комплект конкурсной документации:</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Конкурсную документацию Участники могут получить на Официальном сайте РФ – www.zakupki.gov.ru, электронно-торговой площадке ОАО «</w:t>
                        </w:r>
                        <w:proofErr w:type="spellStart"/>
                        <w:r w:rsidRPr="00D7683A">
                          <w:rPr>
                            <w:rFonts w:ascii="Arial" w:eastAsia="Times New Roman" w:hAnsi="Arial" w:cs="Arial"/>
                            <w:color w:val="000000"/>
                            <w:sz w:val="16"/>
                            <w:szCs w:val="21"/>
                            <w:lang w:eastAsia="ru-RU"/>
                          </w:rPr>
                          <w:t>Россети</w:t>
                        </w:r>
                        <w:proofErr w:type="spellEnd"/>
                        <w:r w:rsidRPr="00D7683A">
                          <w:rPr>
                            <w:rFonts w:ascii="Arial" w:eastAsia="Times New Roman" w:hAnsi="Arial" w:cs="Arial"/>
                            <w:color w:val="000000"/>
                            <w:sz w:val="16"/>
                            <w:szCs w:val="21"/>
                            <w:lang w:eastAsia="ru-RU"/>
                          </w:rPr>
                          <w:t>» - http://www.b2b-MRSK.ru/, а также на сайте Заказчика по адресу: www.te.ru в разделе «Поставщикам» - «Закупки» и доступна для ознакомления без взимания платы.</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Конкурсная документация:</w:t>
                        </w:r>
                      </w:p>
                    </w:tc>
                    <w:tc>
                      <w:tcPr>
                        <w:tcW w:w="0" w:type="auto"/>
                        <w:shd w:val="clear" w:color="auto" w:fill="EDF0F3"/>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r:id="rId11" w:tgtFrame="_blank" w:history="1">
                          <w:r w:rsidR="00D7683A" w:rsidRPr="00D7683A">
                            <w:rPr>
                              <w:rFonts w:ascii="Arial" w:eastAsia="Times New Roman" w:hAnsi="Arial" w:cs="Arial"/>
                              <w:color w:val="1367CF"/>
                              <w:sz w:val="16"/>
                              <w:szCs w:val="21"/>
                              <w:bdr w:val="none" w:sz="0" w:space="0" w:color="auto" w:frame="1"/>
                              <w:lang w:eastAsia="ru-RU"/>
                            </w:rPr>
                            <w:t xml:space="preserve">Скачать файл </w:t>
                          </w:r>
                          <w:r w:rsidR="00D7683A" w:rsidRPr="00D7683A">
                            <w:rPr>
                              <w:rFonts w:ascii="Arial" w:eastAsia="Times New Roman" w:hAnsi="Arial" w:cs="Arial"/>
                              <w:b/>
                              <w:bCs/>
                              <w:color w:val="1367CF"/>
                              <w:sz w:val="16"/>
                              <w:szCs w:val="21"/>
                              <w:bdr w:val="none" w:sz="0" w:space="0" w:color="auto" w:frame="1"/>
                              <w:lang w:eastAsia="ru-RU"/>
                            </w:rPr>
                            <w:t>КД.7z</w:t>
                          </w:r>
                        </w:hyperlink>
                        <w:r w:rsidR="00D7683A" w:rsidRPr="00D7683A">
                          <w:rPr>
                            <w:rFonts w:ascii="Arial" w:eastAsia="Times New Roman" w:hAnsi="Arial" w:cs="Arial"/>
                            <w:color w:val="000000"/>
                            <w:sz w:val="16"/>
                            <w:szCs w:val="21"/>
                            <w:lang w:eastAsia="ru-RU"/>
                          </w:rPr>
                          <w:t> (10.4 МБ)</w:t>
                        </w:r>
                      </w:p>
                      <w:p w:rsidR="00D7683A" w:rsidRPr="00D7683A" w:rsidRDefault="00B76268" w:rsidP="00D7683A">
                        <w:pPr>
                          <w:spacing w:after="0" w:line="240" w:lineRule="auto"/>
                          <w:rPr>
                            <w:rFonts w:ascii="Arial" w:eastAsia="Times New Roman" w:hAnsi="Arial" w:cs="Arial"/>
                            <w:color w:val="000000"/>
                            <w:sz w:val="16"/>
                            <w:szCs w:val="21"/>
                            <w:lang w:eastAsia="ru-RU"/>
                          </w:rPr>
                        </w:pPr>
                        <w:hyperlink r:id="rId12" w:history="1">
                          <w:r w:rsidR="00D7683A" w:rsidRPr="00D7683A">
                            <w:rPr>
                              <w:rFonts w:ascii="Arial" w:eastAsia="Times New Roman" w:hAnsi="Arial" w:cs="Arial"/>
                              <w:b/>
                              <w:bCs/>
                              <w:color w:val="1367CF"/>
                              <w:sz w:val="16"/>
                              <w:szCs w:val="21"/>
                              <w:bdr w:val="none" w:sz="0" w:space="0" w:color="auto" w:frame="1"/>
                              <w:lang w:eastAsia="ru-RU"/>
                            </w:rPr>
                            <w:t>Редактировать конкурсную документацию</w:t>
                          </w:r>
                        </w:hyperlink>
                      </w:p>
                      <w:p w:rsidR="00D7683A" w:rsidRPr="00D7683A" w:rsidRDefault="00B76268" w:rsidP="00D7683A">
                        <w:pPr>
                          <w:spacing w:after="0" w:line="240" w:lineRule="auto"/>
                          <w:rPr>
                            <w:rFonts w:ascii="Arial" w:eastAsia="Times New Roman" w:hAnsi="Arial" w:cs="Arial"/>
                            <w:color w:val="000000"/>
                            <w:sz w:val="16"/>
                            <w:szCs w:val="21"/>
                            <w:lang w:eastAsia="ru-RU"/>
                          </w:rPr>
                        </w:pPr>
                        <w:hyperlink r:id="rId13" w:tgtFrame="signature" w:history="1">
                          <w:r w:rsidR="00D7683A" w:rsidRPr="00D7683A">
                            <w:rPr>
                              <w:rFonts w:ascii="Arial" w:eastAsia="Times New Roman" w:hAnsi="Arial" w:cs="Arial"/>
                              <w:color w:val="1367CF"/>
                              <w:sz w:val="16"/>
                              <w:szCs w:val="21"/>
                              <w:bdr w:val="none" w:sz="0" w:space="0" w:color="auto" w:frame="1"/>
                              <w:lang w:eastAsia="ru-RU"/>
                            </w:rPr>
                            <w:t>Подписана ЭП</w:t>
                          </w:r>
                        </w:hyperlink>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Порядок предоставления конкурсной документации:</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7683A">
                          <w:rPr>
                            <w:rFonts w:ascii="Arial" w:eastAsia="Times New Roman" w:hAnsi="Arial" w:cs="Arial"/>
                            <w:color w:val="000000"/>
                            <w:sz w:val="16"/>
                            <w:szCs w:val="21"/>
                            <w:lang w:eastAsia="ru-RU"/>
                          </w:rPr>
                          <w:t>с даты размещения</w:t>
                        </w:r>
                        <w:proofErr w:type="gramEnd"/>
                        <w:r w:rsidRPr="00D7683A">
                          <w:rPr>
                            <w:rFonts w:ascii="Arial" w:eastAsia="Times New Roman" w:hAnsi="Arial" w:cs="Arial"/>
                            <w:color w:val="000000"/>
                            <w:sz w:val="16"/>
                            <w:szCs w:val="21"/>
                            <w:lang w:eastAsia="ru-RU"/>
                          </w:rPr>
                          <w:t xml:space="preserve"> закупки.</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Обеспечение конкурсных заявок, кроме банковских гарантий:</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Конкурсные заявки:</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D7683A">
                          <w:rPr>
                            <w:rFonts w:ascii="Arial" w:eastAsia="Times New Roman" w:hAnsi="Arial" w:cs="Arial"/>
                            <w:color w:val="000000"/>
                            <w:sz w:val="16"/>
                            <w:szCs w:val="21"/>
                            <w:lang w:eastAsia="ru-RU"/>
                          </w:rPr>
                          <w:t>дств в д</w:t>
                        </w:r>
                        <w:proofErr w:type="gramEnd"/>
                        <w:r w:rsidRPr="00D7683A">
                          <w:rPr>
                            <w:rFonts w:ascii="Arial" w:eastAsia="Times New Roman" w:hAnsi="Arial" w:cs="Arial"/>
                            <w:color w:val="000000"/>
                            <w:sz w:val="16"/>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При выборе победителя учитывается:</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Цена с НДС</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Место вскрытия конвертов:</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Вскрытие конвертов с заявками состоится на сайте системы электронных торгов группы B2B-Center (www.b2b-center.ru).</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Дата окончания подачи заявок:</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 xml:space="preserve">Вскрытие конвертов с заявками состоится </w:t>
                        </w:r>
                        <w:r w:rsidRPr="00D7683A">
                          <w:rPr>
                            <w:rFonts w:ascii="Arial" w:eastAsia="Times New Roman" w:hAnsi="Arial" w:cs="Arial"/>
                            <w:b/>
                            <w:bCs/>
                            <w:color w:val="000000"/>
                            <w:sz w:val="16"/>
                            <w:szCs w:val="21"/>
                            <w:lang w:eastAsia="ru-RU"/>
                          </w:rPr>
                          <w:t>03.10.2016 в 12:00 по московскому времени</w:t>
                        </w:r>
                        <w:r w:rsidRPr="00D7683A">
                          <w:rPr>
                            <w:rFonts w:ascii="Arial" w:eastAsia="Times New Roman" w:hAnsi="Arial" w:cs="Arial"/>
                            <w:color w:val="000000"/>
                            <w:sz w:val="16"/>
                            <w:szCs w:val="21"/>
                            <w:lang w:eastAsia="ru-RU"/>
                          </w:rPr>
                          <w:t>.</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Дата рассмотрения заявок:</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26.10.2016 12:00</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Место рассмотрения заявок:</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628303, ХМАО-Югра, Тюменская обл., г. Нефтеюганск, ул. Мира,15, каб.218</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Дата и время подведения итогов:</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02.11.2016 12:00</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lastRenderedPageBreak/>
                          <w:t>Место подведения итогов:</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628303, ХМАО-Югра, Тюменская обл., г. Нефтеюганск, ул. Мира,15, каб.218</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Критерии выбора победителя и сроки заключения договора:</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7683A">
                          <w:rPr>
                            <w:rFonts w:ascii="Arial" w:eastAsia="Times New Roman" w:hAnsi="Arial" w:cs="Arial"/>
                            <w:color w:val="000000"/>
                            <w:sz w:val="16"/>
                            <w:szCs w:val="21"/>
                            <w:lang w:eastAsia="ru-RU"/>
                          </w:rPr>
                          <w:t>ранжировке</w:t>
                        </w:r>
                        <w:proofErr w:type="spellEnd"/>
                        <w:r w:rsidRPr="00D7683A">
                          <w:rPr>
                            <w:rFonts w:ascii="Arial" w:eastAsia="Times New Roman" w:hAnsi="Arial" w:cs="Arial"/>
                            <w:color w:val="000000"/>
                            <w:sz w:val="16"/>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D7683A">
                          <w:rPr>
                            <w:rFonts w:ascii="Arial" w:eastAsia="Times New Roman" w:hAnsi="Arial" w:cs="Arial"/>
                            <w:color w:val="000000"/>
                            <w:sz w:val="16"/>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Лимитная (начальная) цена закупки:</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Лот № 1. 14 947 472,29 руб. (цена с НДС)</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Переторжка:</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Организатор конкурса имеет право воспользоваться правом на проведение переторжки.</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Поставщик не должен находиться в реестре недобросовестных поставщиков</w:t>
                        </w:r>
                        <w:r w:rsidRPr="00D7683A">
                          <w:rPr>
                            <w:rFonts w:ascii="Arial" w:eastAsia="Times New Roman" w:hAnsi="Arial" w:cs="Arial"/>
                            <w:noProof/>
                            <w:color w:val="000000"/>
                            <w:sz w:val="16"/>
                            <w:szCs w:val="21"/>
                            <w:lang w:eastAsia="ru-RU"/>
                          </w:rPr>
                          <w:drawing>
                            <wp:inline distT="0" distB="0" distL="0" distR="0" wp14:anchorId="22B07F71" wp14:editId="6815CAEB">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D7683A" w:rsidRPr="00D7683A" w:rsidRDefault="00D7683A" w:rsidP="00D7683A">
                        <w:pPr>
                          <w:spacing w:after="0" w:line="240" w:lineRule="auto"/>
                          <w:rPr>
                            <w:rFonts w:ascii="Arial" w:eastAsia="Times New Roman" w:hAnsi="Arial" w:cs="Arial"/>
                            <w:vanish/>
                            <w:color w:val="000000"/>
                            <w:sz w:val="16"/>
                            <w:szCs w:val="21"/>
                            <w:lang w:eastAsia="ru-RU"/>
                          </w:rPr>
                        </w:pPr>
                        <w:r w:rsidRPr="00D7683A">
                          <w:rPr>
                            <w:rFonts w:ascii="Arial" w:eastAsia="Times New Roman" w:hAnsi="Arial" w:cs="Arial"/>
                            <w:vanish/>
                            <w:color w:val="000000"/>
                            <w:sz w:val="16"/>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Возможно участие только субъектов малого и среднего предпринимательства</w:t>
                        </w:r>
                        <w:r w:rsidRPr="00D7683A">
                          <w:rPr>
                            <w:rFonts w:ascii="Arial" w:eastAsia="Times New Roman" w:hAnsi="Arial" w:cs="Arial"/>
                            <w:noProof/>
                            <w:color w:val="000000"/>
                            <w:sz w:val="16"/>
                            <w:szCs w:val="21"/>
                            <w:lang w:eastAsia="ru-RU"/>
                          </w:rPr>
                          <w:drawing>
                            <wp:inline distT="0" distB="0" distL="0" distR="0" wp14:anchorId="27169468" wp14:editId="28481700">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D7683A" w:rsidRPr="00D7683A" w:rsidRDefault="00D7683A" w:rsidP="00D7683A">
                        <w:pPr>
                          <w:spacing w:after="0" w:line="240" w:lineRule="auto"/>
                          <w:rPr>
                            <w:rFonts w:ascii="Arial" w:eastAsia="Times New Roman" w:hAnsi="Arial" w:cs="Arial"/>
                            <w:vanish/>
                            <w:color w:val="000000"/>
                            <w:sz w:val="16"/>
                            <w:szCs w:val="21"/>
                            <w:lang w:eastAsia="ru-RU"/>
                          </w:rPr>
                        </w:pPr>
                        <w:r w:rsidRPr="00D7683A">
                          <w:rPr>
                            <w:rFonts w:ascii="Arial" w:eastAsia="Times New Roman" w:hAnsi="Arial" w:cs="Arial"/>
                            <w:vanish/>
                            <w:color w:val="000000"/>
                            <w:sz w:val="16"/>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D7683A">
                            <w:rPr>
                              <w:rFonts w:ascii="Arial" w:eastAsia="Times New Roman" w:hAnsi="Arial" w:cs="Arial"/>
                              <w:vanish/>
                              <w:color w:val="1367CF"/>
                              <w:sz w:val="16"/>
                              <w:szCs w:val="21"/>
                              <w:bdr w:val="none" w:sz="0" w:space="0" w:color="auto" w:frame="1"/>
                              <w:lang w:eastAsia="ru-RU"/>
                            </w:rPr>
                            <w:t>Пройти аккредитацию</w:t>
                          </w:r>
                        </w:hyperlink>
                      </w:p>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w:t>
                        </w:r>
                      </w:p>
                    </w:tc>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w:t>
                        </w: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Дополнительная информация о конкурсе:</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 xml:space="preserve">Информация о закупке размещена на Официальном сайте РФ – www.zakupki.gov.ru, на </w:t>
                        </w:r>
                        <w:proofErr w:type="spellStart"/>
                        <w:r w:rsidRPr="00D7683A">
                          <w:rPr>
                            <w:rFonts w:ascii="Arial" w:eastAsia="Times New Roman" w:hAnsi="Arial" w:cs="Arial"/>
                            <w:color w:val="000000"/>
                            <w:sz w:val="16"/>
                            <w:szCs w:val="21"/>
                            <w:lang w:eastAsia="ru-RU"/>
                          </w:rPr>
                          <w:t>электронно</w:t>
                        </w:r>
                        <w:proofErr w:type="spellEnd"/>
                        <w:r w:rsidRPr="00D7683A">
                          <w:rPr>
                            <w:rFonts w:ascii="Arial" w:eastAsia="Times New Roman" w:hAnsi="Arial" w:cs="Arial"/>
                            <w:color w:val="000000"/>
                            <w:sz w:val="16"/>
                            <w:szCs w:val="21"/>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D7683A">
                          <w:rPr>
                            <w:rFonts w:ascii="Arial" w:eastAsia="Times New Roman" w:hAnsi="Arial" w:cs="Arial"/>
                            <w:color w:val="000000"/>
                            <w:sz w:val="16"/>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7683A">
                          <w:rPr>
                            <w:rFonts w:ascii="Arial" w:eastAsia="Times New Roman" w:hAnsi="Arial" w:cs="Arial"/>
                            <w:color w:val="000000"/>
                            <w:sz w:val="16"/>
                            <w:szCs w:val="21"/>
                            <w:lang w:eastAsia="ru-RU"/>
                          </w:rPr>
                          <w:br/>
                        </w:r>
                        <w:r w:rsidRPr="00D7683A">
                          <w:rPr>
                            <w:rFonts w:ascii="Arial" w:eastAsia="Times New Roman" w:hAnsi="Arial" w:cs="Arial"/>
                            <w:color w:val="000000"/>
                            <w:sz w:val="16"/>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D7683A">
                          <w:rPr>
                            <w:rFonts w:ascii="Arial" w:eastAsia="Times New Roman" w:hAnsi="Arial" w:cs="Arial"/>
                            <w:color w:val="000000"/>
                            <w:sz w:val="16"/>
                            <w:szCs w:val="21"/>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D7683A">
                          <w:rPr>
                            <w:rFonts w:ascii="Arial" w:eastAsia="Times New Roman" w:hAnsi="Arial" w:cs="Arial"/>
                            <w:color w:val="000000"/>
                            <w:sz w:val="16"/>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D7683A">
                          <w:rPr>
                            <w:rFonts w:ascii="Arial" w:eastAsia="Times New Roman" w:hAnsi="Arial" w:cs="Arial"/>
                            <w:color w:val="000000"/>
                            <w:sz w:val="16"/>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Адрес места поставки товара, проведения работ или оказания услуг:</w:t>
                        </w:r>
                      </w:p>
                    </w:tc>
                    <w:tc>
                      <w:tcPr>
                        <w:tcW w:w="0" w:type="auto"/>
                        <w:shd w:val="clear" w:color="auto" w:fill="DDE3EB"/>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w:history="1">
                          <w:proofErr w:type="gramStart"/>
                          <w:r w:rsidR="00D7683A" w:rsidRPr="00D7683A">
                            <w:rPr>
                              <w:rFonts w:ascii="Arial" w:eastAsia="Times New Roman" w:hAnsi="Arial" w:cs="Arial"/>
                              <w:color w:val="1367CF"/>
                              <w:sz w:val="16"/>
                              <w:szCs w:val="21"/>
                              <w:bdr w:val="none" w:sz="0" w:space="0" w:color="auto" w:frame="1"/>
                              <w:lang w:eastAsia="ru-RU"/>
                            </w:rPr>
                            <w:t>628303, Ханты-Мансийский Автономный округ - Югра, Тюменская обл., г. Нефтеюганск, ул. Мира, д. 15</w:t>
                          </w:r>
                        </w:hyperlink>
                        <w:r w:rsidR="00D7683A" w:rsidRPr="00D7683A">
                          <w:rPr>
                            <w:rFonts w:ascii="Arial" w:eastAsia="Times New Roman" w:hAnsi="Arial" w:cs="Arial"/>
                            <w:color w:val="000000"/>
                            <w:sz w:val="16"/>
                            <w:szCs w:val="21"/>
                            <w:lang w:eastAsia="ru-RU"/>
                          </w:rPr>
                          <w:t xml:space="preserve"> </w:t>
                        </w:r>
                        <w:proofErr w:type="gramEnd"/>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Программа закупок:</w:t>
                        </w:r>
                      </w:p>
                    </w:tc>
                    <w:tc>
                      <w:tcPr>
                        <w:tcW w:w="0" w:type="auto"/>
                        <w:shd w:val="clear" w:color="auto" w:fill="EDF0F3"/>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r:id="rId16" w:history="1">
                          <w:r w:rsidR="00D7683A" w:rsidRPr="00D7683A">
                            <w:rPr>
                              <w:rFonts w:ascii="Arial" w:eastAsia="Times New Roman" w:hAnsi="Arial" w:cs="Arial"/>
                              <w:color w:val="1367CF"/>
                              <w:sz w:val="16"/>
                              <w:szCs w:val="21"/>
                              <w:bdr w:val="none" w:sz="0" w:space="0" w:color="auto" w:frame="1"/>
                              <w:lang w:eastAsia="ru-RU"/>
                            </w:rPr>
                            <w:t>Заявка № 4414255</w:t>
                          </w:r>
                        </w:hyperlink>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1"/>
                          <w:gridCol w:w="3476"/>
                        </w:tblGrid>
                        <w:tr w:rsidR="00D7683A" w:rsidRPr="00D7683A" w:rsidTr="00B76268">
                          <w:trPr>
                            <w:tblCellSpacing w:w="15" w:type="dxa"/>
                          </w:trPr>
                          <w:tc>
                            <w:tcPr>
                              <w:tcW w:w="3750" w:type="dxa"/>
                              <w:tcMar>
                                <w:top w:w="45" w:type="dxa"/>
                                <w:left w:w="45" w:type="dxa"/>
                                <w:bottom w:w="45" w:type="dxa"/>
                                <w:right w:w="45" w:type="dxa"/>
                              </w:tcMar>
                            </w:tcPr>
                            <w:p w:rsidR="00D7683A" w:rsidRPr="00D7683A" w:rsidRDefault="00D7683A" w:rsidP="00D7683A">
                              <w:pPr>
                                <w:spacing w:after="0" w:line="240" w:lineRule="auto"/>
                                <w:rPr>
                                  <w:rFonts w:ascii="Arial" w:eastAsia="Times New Roman" w:hAnsi="Arial" w:cs="Arial"/>
                                  <w:color w:val="000000"/>
                                  <w:sz w:val="16"/>
                                  <w:szCs w:val="21"/>
                                  <w:lang w:eastAsia="ru-RU"/>
                                </w:rPr>
                              </w:pPr>
                              <w:bookmarkStart w:id="0" w:name="_GoBack"/>
                              <w:bookmarkEnd w:id="0"/>
                            </w:p>
                          </w:tc>
                          <w:tc>
                            <w:tcPr>
                              <w:tcW w:w="3750" w:type="dxa"/>
                              <w:tcMar>
                                <w:top w:w="45" w:type="dxa"/>
                                <w:left w:w="45" w:type="dxa"/>
                                <w:bottom w:w="45" w:type="dxa"/>
                                <w:right w:w="45" w:type="dxa"/>
                              </w:tcMar>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b/>
                                  <w:bCs/>
                                  <w:color w:val="000000"/>
                                  <w:sz w:val="16"/>
                                  <w:szCs w:val="21"/>
                                  <w:lang w:eastAsia="ru-RU"/>
                                </w:rPr>
                                <w:t>Протоколы</w:t>
                              </w:r>
                            </w:p>
                            <w:p w:rsidR="00D7683A" w:rsidRPr="00D7683A" w:rsidRDefault="00D7683A" w:rsidP="00D7683A">
                              <w:pPr>
                                <w:spacing w:before="171" w:after="171" w:line="240" w:lineRule="auto"/>
                                <w:rPr>
                                  <w:rFonts w:ascii="Arial" w:eastAsia="Times New Roman" w:hAnsi="Arial" w:cs="Arial"/>
                                  <w:color w:val="818181"/>
                                  <w:sz w:val="16"/>
                                  <w:szCs w:val="21"/>
                                  <w:lang w:eastAsia="ru-RU"/>
                                </w:rPr>
                              </w:pPr>
                              <w:r w:rsidRPr="00D7683A">
                                <w:rPr>
                                  <w:rFonts w:ascii="Arial" w:eastAsia="Times New Roman" w:hAnsi="Arial" w:cs="Arial"/>
                                  <w:color w:val="818181"/>
                                  <w:sz w:val="16"/>
                                  <w:szCs w:val="21"/>
                                  <w:lang w:eastAsia="ru-RU"/>
                                </w:rPr>
                                <w:t>Протоколы отсутствуют</w:t>
                              </w:r>
                            </w:p>
                          </w:tc>
                        </w:tr>
                      </w:tbl>
                      <w:p w:rsidR="00D7683A" w:rsidRPr="00D7683A" w:rsidRDefault="00D7683A" w:rsidP="00D7683A">
                        <w:pPr>
                          <w:spacing w:after="0" w:line="240" w:lineRule="auto"/>
                          <w:rPr>
                            <w:rFonts w:ascii="Arial" w:eastAsia="Times New Roman" w:hAnsi="Arial" w:cs="Arial"/>
                            <w:color w:val="000000"/>
                            <w:sz w:val="16"/>
                            <w:szCs w:val="21"/>
                            <w:lang w:eastAsia="ru-RU"/>
                          </w:rPr>
                        </w:pPr>
                      </w:p>
                    </w:tc>
                  </w:tr>
                  <w:tr w:rsidR="00D7683A" w:rsidRPr="00D7683A">
                    <w:trPr>
                      <w:tblCellSpacing w:w="0" w:type="dxa"/>
                    </w:trPr>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Дата последнего редактирования:</w:t>
                        </w:r>
                      </w:p>
                    </w:tc>
                    <w:tc>
                      <w:tcPr>
                        <w:tcW w:w="0" w:type="auto"/>
                        <w:shd w:val="clear" w:color="auto" w:fill="EDF0F3"/>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 xml:space="preserve">12.09.2016 06:09, </w:t>
                        </w:r>
                        <w:hyperlink r:id="rId17" w:tgtFrame="_blank" w:tooltip="Отправить личное сообщение" w:history="1">
                          <w:r w:rsidRPr="00D7683A">
                            <w:rPr>
                              <w:rFonts w:ascii="Arial" w:eastAsia="Times New Roman" w:hAnsi="Arial" w:cs="Arial"/>
                              <w:color w:val="1367CF"/>
                              <w:sz w:val="16"/>
                              <w:szCs w:val="21"/>
                              <w:bdr w:val="none" w:sz="0" w:space="0" w:color="auto" w:frame="1"/>
                              <w:lang w:eastAsia="ru-RU"/>
                            </w:rPr>
                            <w:t>Яковленко Яна Валерьевна</w:t>
                          </w:r>
                        </w:hyperlink>
                      </w:p>
                    </w:tc>
                  </w:tr>
                  <w:tr w:rsidR="00D7683A" w:rsidRPr="00D7683A">
                    <w:trPr>
                      <w:tblCellSpacing w:w="0" w:type="dxa"/>
                    </w:trPr>
                    <w:tc>
                      <w:tcPr>
                        <w:tcW w:w="0" w:type="auto"/>
                        <w:shd w:val="clear" w:color="auto" w:fill="DDE3EB"/>
                        <w:hideMark/>
                      </w:tcPr>
                      <w:p w:rsidR="00D7683A" w:rsidRPr="00D7683A" w:rsidRDefault="00D7683A" w:rsidP="00D7683A">
                        <w:pPr>
                          <w:spacing w:after="0" w:line="240" w:lineRule="auto"/>
                          <w:rPr>
                            <w:rFonts w:ascii="Arial" w:eastAsia="Times New Roman" w:hAnsi="Arial" w:cs="Arial"/>
                            <w:color w:val="000000"/>
                            <w:sz w:val="16"/>
                            <w:szCs w:val="21"/>
                            <w:lang w:eastAsia="ru-RU"/>
                          </w:rPr>
                        </w:pPr>
                        <w:r w:rsidRPr="00D7683A">
                          <w:rPr>
                            <w:rFonts w:ascii="Arial" w:eastAsia="Times New Roman" w:hAnsi="Arial" w:cs="Arial"/>
                            <w:color w:val="000000"/>
                            <w:sz w:val="16"/>
                            <w:szCs w:val="21"/>
                            <w:lang w:eastAsia="ru-RU"/>
                          </w:rPr>
                          <w:t>Информация о подписи:</w:t>
                        </w:r>
                      </w:p>
                    </w:tc>
                    <w:tc>
                      <w:tcPr>
                        <w:tcW w:w="0" w:type="auto"/>
                        <w:shd w:val="clear" w:color="auto" w:fill="DDE3EB"/>
                        <w:hideMark/>
                      </w:tcPr>
                      <w:p w:rsidR="00D7683A" w:rsidRPr="00D7683A" w:rsidRDefault="00B76268" w:rsidP="00D7683A">
                        <w:pPr>
                          <w:spacing w:after="0" w:line="240" w:lineRule="auto"/>
                          <w:rPr>
                            <w:rFonts w:ascii="Arial" w:eastAsia="Times New Roman" w:hAnsi="Arial" w:cs="Arial"/>
                            <w:color w:val="000000"/>
                            <w:sz w:val="16"/>
                            <w:szCs w:val="21"/>
                            <w:lang w:eastAsia="ru-RU"/>
                          </w:rPr>
                        </w:pPr>
                        <w:hyperlink r:id="rId18" w:tgtFrame="signature" w:history="1">
                          <w:r w:rsidR="00D7683A" w:rsidRPr="00D7683A">
                            <w:rPr>
                              <w:rFonts w:ascii="Arial" w:eastAsia="Times New Roman" w:hAnsi="Arial" w:cs="Arial"/>
                              <w:color w:val="1367CF"/>
                              <w:sz w:val="16"/>
                              <w:szCs w:val="21"/>
                              <w:bdr w:val="none" w:sz="0" w:space="0" w:color="auto" w:frame="1"/>
                              <w:lang w:eastAsia="ru-RU"/>
                            </w:rPr>
                            <w:t>Подписано ЭП</w:t>
                          </w:r>
                        </w:hyperlink>
                      </w:p>
                    </w:tc>
                  </w:tr>
                </w:tbl>
                <w:p w:rsidR="00D7683A" w:rsidRPr="00D7683A" w:rsidRDefault="00D7683A" w:rsidP="00D7683A">
                  <w:pPr>
                    <w:spacing w:after="0" w:line="240" w:lineRule="auto"/>
                    <w:rPr>
                      <w:rFonts w:ascii="Arial" w:eastAsia="Times New Roman" w:hAnsi="Arial" w:cs="Arial"/>
                      <w:color w:val="000000"/>
                      <w:sz w:val="16"/>
                      <w:szCs w:val="21"/>
                      <w:lang w:eastAsia="ru-RU"/>
                    </w:rPr>
                  </w:pPr>
                </w:p>
              </w:tc>
            </w:tr>
          </w:tbl>
          <w:p w:rsidR="00D7683A" w:rsidRPr="00D7683A" w:rsidRDefault="00D7683A" w:rsidP="00D7683A">
            <w:pPr>
              <w:spacing w:after="0" w:line="240" w:lineRule="auto"/>
              <w:rPr>
                <w:rFonts w:ascii="Arial" w:eastAsia="Times New Roman" w:hAnsi="Arial" w:cs="Arial"/>
                <w:color w:val="000000"/>
                <w:sz w:val="16"/>
                <w:szCs w:val="21"/>
                <w:lang w:eastAsia="ru-RU"/>
              </w:rPr>
            </w:pPr>
          </w:p>
        </w:tc>
      </w:tr>
    </w:tbl>
    <w:p w:rsidR="0015001D" w:rsidRPr="00D7683A" w:rsidRDefault="0015001D" w:rsidP="00D7683A">
      <w:pPr>
        <w:spacing w:line="240" w:lineRule="auto"/>
        <w:rPr>
          <w:sz w:val="16"/>
        </w:rPr>
      </w:pPr>
    </w:p>
    <w:sectPr w:rsidR="0015001D" w:rsidRPr="00D76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27254"/>
    <w:multiLevelType w:val="multilevel"/>
    <w:tmpl w:val="C35E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BC"/>
    <w:rsid w:val="0015001D"/>
    <w:rsid w:val="00355DBC"/>
    <w:rsid w:val="00B76268"/>
    <w:rsid w:val="00D7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683A"/>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D7683A"/>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83A"/>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D7683A"/>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D7683A"/>
    <w:rPr>
      <w:strike w:val="0"/>
      <w:dstrike w:val="0"/>
      <w:color w:val="2283C3"/>
      <w:u w:val="none"/>
      <w:effect w:val="none"/>
    </w:rPr>
  </w:style>
  <w:style w:type="paragraph" w:customStyle="1" w:styleId="gray-text">
    <w:name w:val="gray-text"/>
    <w:basedOn w:val="a"/>
    <w:rsid w:val="00D7683A"/>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D7683A"/>
    <w:rPr>
      <w:sz w:val="18"/>
      <w:szCs w:val="18"/>
    </w:rPr>
  </w:style>
  <w:style w:type="character" w:customStyle="1" w:styleId="bg1">
    <w:name w:val="bg1"/>
    <w:basedOn w:val="a0"/>
    <w:rsid w:val="00D7683A"/>
    <w:rPr>
      <w:color w:val="A0A0A0"/>
      <w:sz w:val="18"/>
      <w:szCs w:val="18"/>
    </w:rPr>
  </w:style>
  <w:style w:type="character" w:customStyle="1" w:styleId="userlinkmenu">
    <w:name w:val="userlink_menu"/>
    <w:basedOn w:val="a0"/>
    <w:rsid w:val="00D7683A"/>
  </w:style>
  <w:style w:type="character" w:customStyle="1" w:styleId="floathint-marker1">
    <w:name w:val="floathint-marker1"/>
    <w:basedOn w:val="a0"/>
    <w:rsid w:val="00D7683A"/>
    <w:rPr>
      <w:vanish w:val="0"/>
      <w:webHidden w:val="0"/>
      <w:specVanish w:val="0"/>
    </w:rPr>
  </w:style>
  <w:style w:type="character" w:customStyle="1" w:styleId="aux1">
    <w:name w:val="aux1"/>
    <w:basedOn w:val="a0"/>
    <w:rsid w:val="00D7683A"/>
    <w:rPr>
      <w:color w:val="006600"/>
    </w:rPr>
  </w:style>
  <w:style w:type="character" w:customStyle="1" w:styleId="imp1">
    <w:name w:val="imp1"/>
    <w:basedOn w:val="a0"/>
    <w:rsid w:val="00D7683A"/>
    <w:rPr>
      <w:color w:val="E4002B"/>
    </w:rPr>
  </w:style>
  <w:style w:type="character" w:customStyle="1" w:styleId="gray-text1">
    <w:name w:val="gray-text1"/>
    <w:basedOn w:val="a0"/>
    <w:rsid w:val="00D7683A"/>
    <w:rPr>
      <w:color w:val="818181"/>
    </w:rPr>
  </w:style>
  <w:style w:type="paragraph" w:styleId="z-">
    <w:name w:val="HTML Top of Form"/>
    <w:basedOn w:val="a"/>
    <w:next w:val="a"/>
    <w:link w:val="z-0"/>
    <w:hidden/>
    <w:uiPriority w:val="99"/>
    <w:semiHidden/>
    <w:unhideWhenUsed/>
    <w:rsid w:val="00D768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768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768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7683A"/>
    <w:rPr>
      <w:rFonts w:ascii="Arial" w:eastAsia="Times New Roman" w:hAnsi="Arial" w:cs="Arial"/>
      <w:vanish/>
      <w:sz w:val="16"/>
      <w:szCs w:val="16"/>
      <w:lang w:eastAsia="ru-RU"/>
    </w:rPr>
  </w:style>
  <w:style w:type="paragraph" w:styleId="a4">
    <w:name w:val="Balloon Text"/>
    <w:basedOn w:val="a"/>
    <w:link w:val="a5"/>
    <w:uiPriority w:val="99"/>
    <w:semiHidden/>
    <w:unhideWhenUsed/>
    <w:rsid w:val="00D768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683A"/>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D7683A"/>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83A"/>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D7683A"/>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D7683A"/>
    <w:rPr>
      <w:strike w:val="0"/>
      <w:dstrike w:val="0"/>
      <w:color w:val="2283C3"/>
      <w:u w:val="none"/>
      <w:effect w:val="none"/>
    </w:rPr>
  </w:style>
  <w:style w:type="paragraph" w:customStyle="1" w:styleId="gray-text">
    <w:name w:val="gray-text"/>
    <w:basedOn w:val="a"/>
    <w:rsid w:val="00D7683A"/>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D7683A"/>
    <w:rPr>
      <w:sz w:val="18"/>
      <w:szCs w:val="18"/>
    </w:rPr>
  </w:style>
  <w:style w:type="character" w:customStyle="1" w:styleId="bg1">
    <w:name w:val="bg1"/>
    <w:basedOn w:val="a0"/>
    <w:rsid w:val="00D7683A"/>
    <w:rPr>
      <w:color w:val="A0A0A0"/>
      <w:sz w:val="18"/>
      <w:szCs w:val="18"/>
    </w:rPr>
  </w:style>
  <w:style w:type="character" w:customStyle="1" w:styleId="userlinkmenu">
    <w:name w:val="userlink_menu"/>
    <w:basedOn w:val="a0"/>
    <w:rsid w:val="00D7683A"/>
  </w:style>
  <w:style w:type="character" w:customStyle="1" w:styleId="floathint-marker1">
    <w:name w:val="floathint-marker1"/>
    <w:basedOn w:val="a0"/>
    <w:rsid w:val="00D7683A"/>
    <w:rPr>
      <w:vanish w:val="0"/>
      <w:webHidden w:val="0"/>
      <w:specVanish w:val="0"/>
    </w:rPr>
  </w:style>
  <w:style w:type="character" w:customStyle="1" w:styleId="aux1">
    <w:name w:val="aux1"/>
    <w:basedOn w:val="a0"/>
    <w:rsid w:val="00D7683A"/>
    <w:rPr>
      <w:color w:val="006600"/>
    </w:rPr>
  </w:style>
  <w:style w:type="character" w:customStyle="1" w:styleId="imp1">
    <w:name w:val="imp1"/>
    <w:basedOn w:val="a0"/>
    <w:rsid w:val="00D7683A"/>
    <w:rPr>
      <w:color w:val="E4002B"/>
    </w:rPr>
  </w:style>
  <w:style w:type="character" w:customStyle="1" w:styleId="gray-text1">
    <w:name w:val="gray-text1"/>
    <w:basedOn w:val="a0"/>
    <w:rsid w:val="00D7683A"/>
    <w:rPr>
      <w:color w:val="818181"/>
    </w:rPr>
  </w:style>
  <w:style w:type="paragraph" w:styleId="z-">
    <w:name w:val="HTML Top of Form"/>
    <w:basedOn w:val="a"/>
    <w:next w:val="a"/>
    <w:link w:val="z-0"/>
    <w:hidden/>
    <w:uiPriority w:val="99"/>
    <w:semiHidden/>
    <w:unhideWhenUsed/>
    <w:rsid w:val="00D768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768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768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7683A"/>
    <w:rPr>
      <w:rFonts w:ascii="Arial" w:eastAsia="Times New Roman" w:hAnsi="Arial" w:cs="Arial"/>
      <w:vanish/>
      <w:sz w:val="16"/>
      <w:szCs w:val="16"/>
      <w:lang w:eastAsia="ru-RU"/>
    </w:rPr>
  </w:style>
  <w:style w:type="paragraph" w:styleId="a4">
    <w:name w:val="Balloon Text"/>
    <w:basedOn w:val="a"/>
    <w:link w:val="a5"/>
    <w:uiPriority w:val="99"/>
    <w:semiHidden/>
    <w:unhideWhenUsed/>
    <w:rsid w:val="00D768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0406">
      <w:bodyDiv w:val="1"/>
      <w:marLeft w:val="0"/>
      <w:marRight w:val="0"/>
      <w:marTop w:val="0"/>
      <w:marBottom w:val="0"/>
      <w:divBdr>
        <w:top w:val="none" w:sz="0" w:space="0" w:color="auto"/>
        <w:left w:val="none" w:sz="0" w:space="0" w:color="auto"/>
        <w:bottom w:val="none" w:sz="0" w:space="0" w:color="auto"/>
        <w:right w:val="none" w:sz="0" w:space="0" w:color="auto"/>
      </w:divBdr>
      <w:divsChild>
        <w:div w:id="1327125038">
          <w:marLeft w:val="0"/>
          <w:marRight w:val="0"/>
          <w:marTop w:val="0"/>
          <w:marBottom w:val="0"/>
          <w:divBdr>
            <w:top w:val="none" w:sz="0" w:space="0" w:color="auto"/>
            <w:left w:val="none" w:sz="0" w:space="0" w:color="auto"/>
            <w:bottom w:val="none" w:sz="0" w:space="0" w:color="auto"/>
            <w:right w:val="none" w:sz="0" w:space="0" w:color="auto"/>
          </w:divBdr>
          <w:divsChild>
            <w:div w:id="1287738742">
              <w:marLeft w:val="0"/>
              <w:marRight w:val="0"/>
              <w:marTop w:val="0"/>
              <w:marBottom w:val="0"/>
              <w:divBdr>
                <w:top w:val="none" w:sz="0" w:space="0" w:color="auto"/>
                <w:left w:val="none" w:sz="0" w:space="0" w:color="auto"/>
                <w:bottom w:val="none" w:sz="0" w:space="0" w:color="auto"/>
                <w:right w:val="none" w:sz="0" w:space="0" w:color="auto"/>
              </w:divBdr>
              <w:divsChild>
                <w:div w:id="857694337">
                  <w:marLeft w:val="0"/>
                  <w:marRight w:val="0"/>
                  <w:marTop w:val="0"/>
                  <w:marBottom w:val="0"/>
                  <w:divBdr>
                    <w:top w:val="none" w:sz="0" w:space="0" w:color="auto"/>
                    <w:left w:val="none" w:sz="0" w:space="0" w:color="auto"/>
                    <w:bottom w:val="none" w:sz="0" w:space="0" w:color="auto"/>
                    <w:right w:val="none" w:sz="0" w:space="0" w:color="auto"/>
                  </w:divBdr>
                  <w:divsChild>
                    <w:div w:id="1848016799">
                      <w:marLeft w:val="0"/>
                      <w:marRight w:val="0"/>
                      <w:marTop w:val="100"/>
                      <w:marBottom w:val="100"/>
                      <w:divBdr>
                        <w:top w:val="none" w:sz="0" w:space="0" w:color="auto"/>
                        <w:left w:val="none" w:sz="0" w:space="0" w:color="auto"/>
                        <w:bottom w:val="none" w:sz="0" w:space="0" w:color="auto"/>
                        <w:right w:val="none" w:sz="0" w:space="0" w:color="auto"/>
                      </w:divBdr>
                      <w:divsChild>
                        <w:div w:id="2142308515">
                          <w:marLeft w:val="0"/>
                          <w:marRight w:val="-450"/>
                          <w:marTop w:val="0"/>
                          <w:marBottom w:val="0"/>
                          <w:divBdr>
                            <w:top w:val="none" w:sz="0" w:space="0" w:color="auto"/>
                            <w:left w:val="none" w:sz="0" w:space="0" w:color="auto"/>
                            <w:bottom w:val="none" w:sz="0" w:space="0" w:color="auto"/>
                            <w:right w:val="none" w:sz="0" w:space="0" w:color="auto"/>
                          </w:divBdr>
                          <w:divsChild>
                            <w:div w:id="716009797">
                              <w:marLeft w:val="0"/>
                              <w:marRight w:val="0"/>
                              <w:marTop w:val="0"/>
                              <w:marBottom w:val="0"/>
                              <w:divBdr>
                                <w:top w:val="none" w:sz="0" w:space="0" w:color="auto"/>
                                <w:left w:val="none" w:sz="0" w:space="0" w:color="auto"/>
                                <w:bottom w:val="none" w:sz="0" w:space="0" w:color="auto"/>
                                <w:right w:val="none" w:sz="0" w:space="0" w:color="auto"/>
                              </w:divBdr>
                              <w:divsChild>
                                <w:div w:id="169969680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66144958">
              <w:marLeft w:val="0"/>
              <w:marRight w:val="0"/>
              <w:marTop w:val="0"/>
              <w:marBottom w:val="0"/>
              <w:divBdr>
                <w:top w:val="none" w:sz="0" w:space="0" w:color="auto"/>
                <w:left w:val="none" w:sz="0" w:space="0" w:color="auto"/>
                <w:bottom w:val="none" w:sz="0" w:space="0" w:color="auto"/>
                <w:right w:val="none" w:sz="0" w:space="0" w:color="auto"/>
              </w:divBdr>
              <w:divsChild>
                <w:div w:id="1755975639">
                  <w:marLeft w:val="0"/>
                  <w:marRight w:val="0"/>
                  <w:marTop w:val="0"/>
                  <w:marBottom w:val="0"/>
                  <w:divBdr>
                    <w:top w:val="none" w:sz="0" w:space="0" w:color="auto"/>
                    <w:left w:val="none" w:sz="0" w:space="0" w:color="auto"/>
                    <w:bottom w:val="none" w:sz="0" w:space="0" w:color="auto"/>
                    <w:right w:val="none" w:sz="0" w:space="0" w:color="auto"/>
                  </w:divBdr>
                </w:div>
                <w:div w:id="1048453555">
                  <w:marLeft w:val="0"/>
                  <w:marRight w:val="0"/>
                  <w:marTop w:val="0"/>
                  <w:marBottom w:val="0"/>
                  <w:divBdr>
                    <w:top w:val="none" w:sz="0" w:space="0" w:color="auto"/>
                    <w:left w:val="none" w:sz="0" w:space="0" w:color="auto"/>
                    <w:bottom w:val="none" w:sz="0" w:space="0" w:color="auto"/>
                    <w:right w:val="none" w:sz="0" w:space="0" w:color="auto"/>
                  </w:divBdr>
                </w:div>
                <w:div w:id="1475681106">
                  <w:marLeft w:val="0"/>
                  <w:marRight w:val="0"/>
                  <w:marTop w:val="0"/>
                  <w:marBottom w:val="0"/>
                  <w:divBdr>
                    <w:top w:val="none" w:sz="0" w:space="0" w:color="auto"/>
                    <w:left w:val="none" w:sz="0" w:space="0" w:color="auto"/>
                    <w:bottom w:val="none" w:sz="0" w:space="0" w:color="auto"/>
                    <w:right w:val="none" w:sz="0" w:space="0" w:color="auto"/>
                  </w:divBdr>
                </w:div>
                <w:div w:id="807551914">
                  <w:marLeft w:val="0"/>
                  <w:marRight w:val="0"/>
                  <w:marTop w:val="0"/>
                  <w:marBottom w:val="0"/>
                  <w:divBdr>
                    <w:top w:val="none" w:sz="0" w:space="0" w:color="auto"/>
                    <w:left w:val="none" w:sz="0" w:space="0" w:color="auto"/>
                    <w:bottom w:val="none" w:sz="0" w:space="0" w:color="auto"/>
                    <w:right w:val="none" w:sz="0" w:space="0" w:color="auto"/>
                  </w:divBdr>
                </w:div>
                <w:div w:id="2134246761">
                  <w:marLeft w:val="0"/>
                  <w:marRight w:val="0"/>
                  <w:marTop w:val="0"/>
                  <w:marBottom w:val="0"/>
                  <w:divBdr>
                    <w:top w:val="none" w:sz="0" w:space="0" w:color="auto"/>
                    <w:left w:val="none" w:sz="0" w:space="0" w:color="auto"/>
                    <w:bottom w:val="none" w:sz="0" w:space="0" w:color="auto"/>
                    <w:right w:val="none" w:sz="0" w:space="0" w:color="auto"/>
                  </w:divBdr>
                </w:div>
                <w:div w:id="1035500224">
                  <w:marLeft w:val="0"/>
                  <w:marRight w:val="0"/>
                  <w:marTop w:val="0"/>
                  <w:marBottom w:val="0"/>
                  <w:divBdr>
                    <w:top w:val="none" w:sz="0" w:space="0" w:color="auto"/>
                    <w:left w:val="none" w:sz="0" w:space="0" w:color="auto"/>
                    <w:bottom w:val="none" w:sz="0" w:space="0" w:color="auto"/>
                    <w:right w:val="none" w:sz="0" w:space="0" w:color="auto"/>
                  </w:divBdr>
                  <w:divsChild>
                    <w:div w:id="398403629">
                      <w:marLeft w:val="0"/>
                      <w:marRight w:val="0"/>
                      <w:marTop w:val="0"/>
                      <w:marBottom w:val="0"/>
                      <w:divBdr>
                        <w:top w:val="none" w:sz="0" w:space="0" w:color="auto"/>
                        <w:left w:val="none" w:sz="0" w:space="0" w:color="auto"/>
                        <w:bottom w:val="none" w:sz="0" w:space="0" w:color="auto"/>
                        <w:right w:val="none" w:sz="0" w:space="0" w:color="auto"/>
                      </w:divBdr>
                    </w:div>
                    <w:div w:id="1432044234">
                      <w:marLeft w:val="0"/>
                      <w:marRight w:val="0"/>
                      <w:marTop w:val="0"/>
                      <w:marBottom w:val="0"/>
                      <w:divBdr>
                        <w:top w:val="none" w:sz="0" w:space="0" w:color="auto"/>
                        <w:left w:val="none" w:sz="0" w:space="0" w:color="auto"/>
                        <w:bottom w:val="none" w:sz="0" w:space="0" w:color="auto"/>
                        <w:right w:val="none" w:sz="0" w:space="0" w:color="auto"/>
                      </w:divBdr>
                    </w:div>
                    <w:div w:id="13570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50128&amp;action=signed_doc&amp;key=docs" TargetMode="External"/><Relationship Id="rId18" Type="http://schemas.openxmlformats.org/officeDocument/2006/relationships/hyperlink" Target="http://www.b2b-mrsk.ru/market/view_tender.html?id=50128&amp;action=signed_doc&amp;key=tender" TargetMode="External"/><Relationship Id="rId3" Type="http://schemas.microsoft.com/office/2007/relationships/stylesWithEffects" Target="stylesWithEffects.xml"/><Relationship Id="rId7" Type="http://schemas.openxmlformats.org/officeDocument/2006/relationships/hyperlink" Target="http://www.b2b-mrsk.ru/market/list_tenders.html?all=0&amp;cat_id=117493090&amp;open=1" TargetMode="External"/><Relationship Id="rId12" Type="http://schemas.openxmlformats.org/officeDocument/2006/relationships/hyperlink" Target="http://www.b2b-mrsk.ru/market/edit_tender.html?id=50128&amp;action=docs" TargetMode="External"/><Relationship Id="rId17" Type="http://schemas.openxmlformats.org/officeDocument/2006/relationships/hyperlink" Target="http://www.b2b-mrsk.ru/popups/send_message.html?action=send&amp;to=121894" TargetMode="External"/><Relationship Id="rId2" Type="http://schemas.openxmlformats.org/officeDocument/2006/relationships/styles" Target="styles.xml"/><Relationship Id="rId16" Type="http://schemas.openxmlformats.org/officeDocument/2006/relationships/hyperlink" Target="http://www.b2b-mrsk.ru/summaries/view_gkpz.html?id=44142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firms/filial-aktsionernogo-obshchestva-energetiki-i-elektrofikatsii-tiumenenergo-nefteiuganskie-elektricheskie-seti/102341/" TargetMode="External"/><Relationship Id="rId11" Type="http://schemas.openxmlformats.org/officeDocument/2006/relationships/hyperlink" Target="http://www.b2b-mrsk.ru/download.html?file=file%2F92632451.7z&amp;title=%D0%9A%D0%94.7z" TargetMode="External"/><Relationship Id="rId5" Type="http://schemas.openxmlformats.org/officeDocument/2006/relationships/webSettings" Target="webSettings.xm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mailto:YakovlenkoYV@nues.t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2b-mrsk.ru/popups/send_message.html?action=send&amp;to=121894&amp;subject=%D0%92%D0%BE%D0%BF%D1%80%D0%BE%D1%81+%D0%BF%D0%BE+%D0%BA%D0%BE%D0%BD%D0%BA%D1%83%D1%80%D1%81%D1%83+%E2%84%96+50128"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2822</Words>
  <Characters>16087</Characters>
  <Application>Microsoft Office Word</Application>
  <DocSecurity>0</DocSecurity>
  <Lines>134</Lines>
  <Paragraphs>37</Paragraphs>
  <ScaleCrop>false</ScaleCrop>
  <Company/>
  <LinksUpToDate>false</LinksUpToDate>
  <CharactersWithSpaces>18872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3</cp:revision>
  <dcterms:created xsi:type="dcterms:W3CDTF">2016-09-12T09:41:00Z</dcterms:created>
  <dcterms:modified xsi:type="dcterms:W3CDTF">2016-09-12T09:43:00Z</dcterms:modified>
</cp:coreProperties>
</file>