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32C" w:rsidRPr="00AC6D65" w:rsidRDefault="009E332C" w:rsidP="00AC6D65">
      <w:pPr>
        <w:pStyle w:val="a3"/>
        <w:numPr>
          <w:ilvl w:val="1"/>
          <w:numId w:val="3"/>
        </w:numPr>
        <w:tabs>
          <w:tab w:val="left" w:pos="851"/>
          <w:tab w:val="left" w:pos="1134"/>
        </w:tabs>
        <w:spacing w:before="60"/>
        <w:ind w:left="0" w:firstLine="567"/>
        <w:jc w:val="both"/>
        <w:rPr>
          <w:rFonts w:eastAsia="Calibri"/>
          <w:b/>
        </w:rPr>
      </w:pPr>
      <w:bookmarkStart w:id="0" w:name="_Ref482631946"/>
      <w:proofErr w:type="spellStart"/>
      <w:r w:rsidRPr="00AC6D65">
        <w:rPr>
          <w:rFonts w:eastAsia="Calibri"/>
          <w:b/>
        </w:rPr>
        <w:t>Требования</w:t>
      </w:r>
      <w:proofErr w:type="spellEnd"/>
      <w:r w:rsidRPr="00AC6D65">
        <w:rPr>
          <w:rFonts w:eastAsia="Calibri"/>
          <w:b/>
        </w:rPr>
        <w:t xml:space="preserve"> к </w:t>
      </w:r>
      <w:proofErr w:type="spellStart"/>
      <w:r w:rsidRPr="00AC6D65">
        <w:rPr>
          <w:rFonts w:eastAsia="Calibri"/>
          <w:b/>
        </w:rPr>
        <w:t>банку-гаранту</w:t>
      </w:r>
      <w:proofErr w:type="spellEnd"/>
      <w:r w:rsidRPr="00AC6D65">
        <w:rPr>
          <w:rFonts w:eastAsia="Calibri"/>
          <w:b/>
        </w:rPr>
        <w:t>.</w:t>
      </w:r>
      <w:bookmarkEnd w:id="0"/>
    </w:p>
    <w:p w:rsidR="009E332C" w:rsidRPr="00AC6D65" w:rsidRDefault="009E332C" w:rsidP="00AC6D65">
      <w:pPr>
        <w:pStyle w:val="-"/>
        <w:widowControl w:val="0"/>
        <w:numPr>
          <w:ilvl w:val="2"/>
          <w:numId w:val="4"/>
        </w:numPr>
        <w:tabs>
          <w:tab w:val="left" w:pos="284"/>
          <w:tab w:val="left" w:pos="840"/>
          <w:tab w:val="left" w:pos="993"/>
        </w:tabs>
        <w:spacing w:before="60" w:after="0" w:line="240" w:lineRule="auto"/>
        <w:ind w:left="0" w:firstLine="567"/>
        <w:jc w:val="both"/>
        <w:rPr>
          <w:b w:val="0"/>
          <w:szCs w:val="24"/>
        </w:rPr>
      </w:pPr>
      <w:r w:rsidRPr="00AC6D65">
        <w:rPr>
          <w:b w:val="0"/>
          <w:szCs w:val="24"/>
        </w:rPr>
        <w:t xml:space="preserve">Требования к банку-гаранту, выдающему банковскую гарантию в качестве обеспечения заявки участника закупочной процедуры: </w:t>
      </w:r>
    </w:p>
    <w:p w:rsidR="009E332C" w:rsidRPr="00AC6D65" w:rsidRDefault="009E332C" w:rsidP="00AC6D65">
      <w:pPr>
        <w:pStyle w:val="-"/>
        <w:widowControl w:val="0"/>
        <w:tabs>
          <w:tab w:val="left" w:pos="284"/>
          <w:tab w:val="left" w:pos="840"/>
          <w:tab w:val="left" w:pos="993"/>
        </w:tabs>
        <w:spacing w:before="60" w:after="0" w:line="240" w:lineRule="auto"/>
        <w:ind w:firstLine="567"/>
        <w:jc w:val="both"/>
        <w:rPr>
          <w:b w:val="0"/>
          <w:szCs w:val="24"/>
        </w:rPr>
      </w:pPr>
      <w:r w:rsidRPr="00AC6D65">
        <w:rPr>
          <w:b w:val="0"/>
          <w:szCs w:val="24"/>
        </w:rPr>
        <w:t>Банк, выдающий банковскую гарантию, должен отвечать всем нижеследующим требованиям:</w:t>
      </w:r>
    </w:p>
    <w:p w:rsidR="009E332C" w:rsidRPr="00AC6D65" w:rsidRDefault="009E332C" w:rsidP="00AC6D65">
      <w:pPr>
        <w:pStyle w:val="-"/>
        <w:widowControl w:val="0"/>
        <w:numPr>
          <w:ilvl w:val="3"/>
          <w:numId w:val="2"/>
        </w:numPr>
        <w:tabs>
          <w:tab w:val="left" w:pos="284"/>
          <w:tab w:val="left" w:pos="840"/>
          <w:tab w:val="left" w:pos="993"/>
        </w:tabs>
        <w:spacing w:before="60" w:after="0" w:line="240" w:lineRule="auto"/>
        <w:ind w:left="0" w:firstLine="567"/>
        <w:jc w:val="both"/>
        <w:rPr>
          <w:b w:val="0"/>
          <w:szCs w:val="24"/>
        </w:rPr>
      </w:pPr>
      <w:r w:rsidRPr="00AC6D65">
        <w:rPr>
          <w:b w:val="0"/>
          <w:szCs w:val="24"/>
        </w:rPr>
        <w:t>Банк обладает действующей лицензией на банковскую деятельность, выданной Банком России.</w:t>
      </w:r>
    </w:p>
    <w:p w:rsidR="009E332C" w:rsidRPr="00AC6D65" w:rsidRDefault="009E332C" w:rsidP="00AC6D65">
      <w:pPr>
        <w:pStyle w:val="-"/>
        <w:widowControl w:val="0"/>
        <w:numPr>
          <w:ilvl w:val="3"/>
          <w:numId w:val="2"/>
        </w:numPr>
        <w:tabs>
          <w:tab w:val="left" w:pos="284"/>
          <w:tab w:val="left" w:pos="840"/>
          <w:tab w:val="left" w:pos="993"/>
        </w:tabs>
        <w:spacing w:before="60" w:after="0" w:line="240" w:lineRule="auto"/>
        <w:ind w:left="0" w:firstLine="567"/>
        <w:jc w:val="both"/>
        <w:rPr>
          <w:b w:val="0"/>
          <w:szCs w:val="24"/>
        </w:rPr>
      </w:pPr>
      <w:r w:rsidRPr="00AC6D65">
        <w:rPr>
          <w:b w:val="0"/>
          <w:szCs w:val="24"/>
        </w:rPr>
        <w:t>Банк не находится в процессе ликвидации или банкротства, полномочия исполнительных органов банка не были приостановлены в соответствии с законодательством о банкротстве.</w:t>
      </w:r>
    </w:p>
    <w:p w:rsidR="009E332C" w:rsidRPr="00AC6D65" w:rsidRDefault="009E332C" w:rsidP="009E332C">
      <w:pPr>
        <w:pStyle w:val="-"/>
        <w:widowControl w:val="0"/>
        <w:numPr>
          <w:ilvl w:val="3"/>
          <w:numId w:val="2"/>
        </w:numPr>
        <w:tabs>
          <w:tab w:val="left" w:pos="284"/>
          <w:tab w:val="left" w:pos="840"/>
          <w:tab w:val="left" w:pos="993"/>
        </w:tabs>
        <w:spacing w:before="60" w:after="0" w:line="240" w:lineRule="auto"/>
        <w:ind w:left="0" w:firstLine="567"/>
        <w:jc w:val="both"/>
        <w:rPr>
          <w:b w:val="0"/>
          <w:szCs w:val="24"/>
          <w:highlight w:val="yellow"/>
        </w:rPr>
      </w:pPr>
      <w:r w:rsidRPr="00AC6D65">
        <w:rPr>
          <w:b w:val="0"/>
          <w:szCs w:val="24"/>
          <w:highlight w:val="yellow"/>
        </w:rPr>
        <w:t xml:space="preserve">На дату предоставления банковской гарантии банк входит в перечень кредитных организаций, имеющих право на открытие счетов и покрытых (депонированных) аккредитивов, заключение договоров банковского счета и договоров банковского вклада (депозита) с хозяйственными обществами, имеющими стратегическое значение для оборонно-промышленного комплекса и безопасности Российской Федерации, а также обществами, находящимися под их прямым или косвенным контролем, по основаниям, предусмотренным частями 1 и 2 статьи 2 Федерального закона от 21 июля 2014 года № 213-ФЗ. </w:t>
      </w:r>
    </w:p>
    <w:p w:rsidR="009E332C" w:rsidRPr="00AC6D65" w:rsidRDefault="009E332C" w:rsidP="009E332C">
      <w:pPr>
        <w:pStyle w:val="-"/>
        <w:widowControl w:val="0"/>
        <w:numPr>
          <w:ilvl w:val="3"/>
          <w:numId w:val="2"/>
        </w:numPr>
        <w:tabs>
          <w:tab w:val="left" w:pos="284"/>
          <w:tab w:val="left" w:pos="840"/>
          <w:tab w:val="left" w:pos="993"/>
        </w:tabs>
        <w:spacing w:before="60" w:after="0" w:line="240" w:lineRule="auto"/>
        <w:ind w:left="0" w:firstLine="567"/>
        <w:jc w:val="both"/>
        <w:rPr>
          <w:b w:val="0"/>
          <w:szCs w:val="24"/>
        </w:rPr>
      </w:pPr>
      <w:r w:rsidRPr="00AC6D65">
        <w:rPr>
          <w:b w:val="0"/>
          <w:szCs w:val="24"/>
        </w:rPr>
        <w:t xml:space="preserve">Отсутствуют установленные в судебном порядке неправомерные отказы банка в платеже по банковской гарантии по требованию Общества в течение последних 24 месяцев </w:t>
      </w:r>
      <w:r w:rsidRPr="00AC6D65">
        <w:rPr>
          <w:b w:val="0"/>
          <w:bCs w:val="0"/>
          <w:szCs w:val="24"/>
        </w:rPr>
        <w:t>до даты размещения извещения о закупке</w:t>
      </w:r>
      <w:r w:rsidRPr="00AC6D65">
        <w:rPr>
          <w:b w:val="0"/>
          <w:szCs w:val="24"/>
        </w:rPr>
        <w:t>.</w:t>
      </w:r>
    </w:p>
    <w:p w:rsidR="009E332C" w:rsidRPr="00AC6D65" w:rsidRDefault="009E332C" w:rsidP="009E332C">
      <w:pPr>
        <w:pStyle w:val="-"/>
        <w:widowControl w:val="0"/>
        <w:numPr>
          <w:ilvl w:val="3"/>
          <w:numId w:val="2"/>
        </w:numPr>
        <w:tabs>
          <w:tab w:val="left" w:pos="284"/>
          <w:tab w:val="left" w:pos="840"/>
          <w:tab w:val="left" w:pos="993"/>
        </w:tabs>
        <w:spacing w:before="60" w:after="0" w:line="240" w:lineRule="auto"/>
        <w:ind w:left="0" w:firstLine="567"/>
        <w:jc w:val="both"/>
        <w:rPr>
          <w:b w:val="0"/>
          <w:szCs w:val="24"/>
        </w:rPr>
      </w:pPr>
      <w:r w:rsidRPr="00AC6D65">
        <w:rPr>
          <w:b w:val="0"/>
          <w:bCs w:val="0"/>
          <w:szCs w:val="24"/>
        </w:rPr>
        <w:t>Отсутствуют установленные в судебном порядке неправомерные действия банка в отношении Общества.</w:t>
      </w:r>
    </w:p>
    <w:p w:rsidR="009E332C" w:rsidRPr="00AC6D65" w:rsidRDefault="009E332C" w:rsidP="009E332C">
      <w:pPr>
        <w:pStyle w:val="-"/>
        <w:widowControl w:val="0"/>
        <w:numPr>
          <w:ilvl w:val="3"/>
          <w:numId w:val="2"/>
        </w:numPr>
        <w:tabs>
          <w:tab w:val="left" w:pos="284"/>
          <w:tab w:val="left" w:pos="840"/>
          <w:tab w:val="left" w:pos="993"/>
        </w:tabs>
        <w:spacing w:before="60" w:after="0" w:line="240" w:lineRule="auto"/>
        <w:ind w:left="0" w:firstLine="567"/>
        <w:jc w:val="both"/>
        <w:rPr>
          <w:b w:val="0"/>
          <w:szCs w:val="24"/>
        </w:rPr>
      </w:pPr>
      <w:r w:rsidRPr="00AC6D65">
        <w:rPr>
          <w:b w:val="0"/>
          <w:bCs w:val="0"/>
          <w:szCs w:val="24"/>
        </w:rPr>
        <w:t>Отсутствует публичная информация о наличии существенных рисков утраты платежеспособности банка.</w:t>
      </w:r>
    </w:p>
    <w:p w:rsidR="009E332C" w:rsidRPr="00AC6D65" w:rsidRDefault="009E332C" w:rsidP="009E332C">
      <w:pPr>
        <w:pStyle w:val="-"/>
        <w:widowControl w:val="0"/>
        <w:numPr>
          <w:ilvl w:val="3"/>
          <w:numId w:val="2"/>
        </w:numPr>
        <w:tabs>
          <w:tab w:val="left" w:pos="284"/>
          <w:tab w:val="left" w:pos="840"/>
          <w:tab w:val="left" w:pos="993"/>
        </w:tabs>
        <w:spacing w:before="60" w:after="0" w:line="240" w:lineRule="auto"/>
        <w:ind w:left="0" w:firstLine="567"/>
        <w:jc w:val="both"/>
        <w:rPr>
          <w:b w:val="0"/>
          <w:szCs w:val="24"/>
        </w:rPr>
      </w:pPr>
      <w:r w:rsidRPr="00AC6D65">
        <w:rPr>
          <w:b w:val="0"/>
          <w:szCs w:val="24"/>
        </w:rPr>
        <w:t>Активы гаранта должны превышать либо быть равны 40 млрд. рублей (только для целей принятия банковских гарантий обеспечения заявки участника закупочной процедуры, с учетом краткосрочного характера гарантии и отсутствия рисков утраты активов Общества при неисполнении обязательств гарантом).</w:t>
      </w:r>
    </w:p>
    <w:p w:rsidR="009E332C" w:rsidRPr="00AC6D65" w:rsidRDefault="009E332C" w:rsidP="009E332C">
      <w:pPr>
        <w:pStyle w:val="-"/>
        <w:widowControl w:val="0"/>
        <w:numPr>
          <w:ilvl w:val="3"/>
          <w:numId w:val="2"/>
        </w:numPr>
        <w:tabs>
          <w:tab w:val="left" w:pos="284"/>
          <w:tab w:val="left" w:pos="840"/>
          <w:tab w:val="left" w:pos="993"/>
        </w:tabs>
        <w:spacing w:before="60" w:after="0" w:line="240" w:lineRule="auto"/>
        <w:ind w:left="0" w:firstLine="567"/>
        <w:jc w:val="both"/>
        <w:rPr>
          <w:b w:val="0"/>
          <w:szCs w:val="24"/>
        </w:rPr>
      </w:pPr>
      <w:r w:rsidRPr="00AC6D65">
        <w:rPr>
          <w:b w:val="0"/>
          <w:szCs w:val="24"/>
        </w:rPr>
        <w:t xml:space="preserve">Активы гаранта должны превышать либо быть равны 10 млрд. рублей (только для целей принятия банковских гарантий обеспечения заявки участника закупочной процедуры при сумме банковской гарантии не более 1,5 млн рублей, с учетом краткосрочного характера гарантии и отсутствия рисков утраты активов Общества при неисполнении обязательств гарантом). </w:t>
      </w:r>
    </w:p>
    <w:p w:rsidR="009E332C" w:rsidRPr="00AC6D65" w:rsidRDefault="009E332C" w:rsidP="009E332C">
      <w:pPr>
        <w:pStyle w:val="-"/>
        <w:widowControl w:val="0"/>
        <w:numPr>
          <w:ilvl w:val="2"/>
          <w:numId w:val="2"/>
        </w:numPr>
        <w:tabs>
          <w:tab w:val="left" w:pos="284"/>
          <w:tab w:val="left" w:pos="567"/>
          <w:tab w:val="left" w:pos="840"/>
        </w:tabs>
        <w:spacing w:before="60" w:after="0" w:line="240" w:lineRule="auto"/>
        <w:ind w:left="0" w:firstLine="567"/>
        <w:jc w:val="both"/>
        <w:rPr>
          <w:b w:val="0"/>
          <w:szCs w:val="24"/>
        </w:rPr>
      </w:pPr>
      <w:r w:rsidRPr="00AC6D65">
        <w:rPr>
          <w:b w:val="0"/>
          <w:szCs w:val="24"/>
        </w:rPr>
        <w:t>Требования к банку-гаранту, выдающему банковскую гарантию в качестве обеспечения исполнения обязательств по договору (в том числе гарантийных обязательств, обязательств по возврату авансовых платежей и т.д.), в т. ч. предоставляющему комфортное письмо в рамках закупки, подтверждающее возможность предоставления банком банковской гарантии в обеспечение исполнения обязательств по договору:</w:t>
      </w:r>
    </w:p>
    <w:p w:rsidR="009E332C" w:rsidRPr="00AC6D65" w:rsidRDefault="009E332C" w:rsidP="009E332C">
      <w:pPr>
        <w:pStyle w:val="-"/>
        <w:widowControl w:val="0"/>
        <w:tabs>
          <w:tab w:val="left" w:pos="284"/>
          <w:tab w:val="left" w:pos="840"/>
        </w:tabs>
        <w:spacing w:before="60" w:after="0" w:line="240" w:lineRule="auto"/>
        <w:ind w:firstLine="567"/>
        <w:jc w:val="both"/>
        <w:rPr>
          <w:b w:val="0"/>
          <w:szCs w:val="24"/>
        </w:rPr>
      </w:pPr>
      <w:r w:rsidRPr="00AC6D65">
        <w:rPr>
          <w:b w:val="0"/>
          <w:szCs w:val="24"/>
        </w:rPr>
        <w:t>Банк, выдающий банковскую гарантию, должен отвечать всем нижеследующим требованиям:</w:t>
      </w:r>
    </w:p>
    <w:p w:rsidR="009E332C" w:rsidRPr="00AC6D65" w:rsidRDefault="009E332C" w:rsidP="009E332C">
      <w:pPr>
        <w:pStyle w:val="-"/>
        <w:widowControl w:val="0"/>
        <w:numPr>
          <w:ilvl w:val="3"/>
          <w:numId w:val="2"/>
        </w:numPr>
        <w:tabs>
          <w:tab w:val="left" w:pos="284"/>
          <w:tab w:val="left" w:pos="840"/>
          <w:tab w:val="left" w:pos="993"/>
        </w:tabs>
        <w:spacing w:before="60" w:after="0" w:line="240" w:lineRule="auto"/>
        <w:ind w:left="0" w:firstLine="567"/>
        <w:jc w:val="both"/>
        <w:rPr>
          <w:b w:val="0"/>
          <w:szCs w:val="24"/>
        </w:rPr>
      </w:pPr>
      <w:r w:rsidRPr="00AC6D65">
        <w:rPr>
          <w:b w:val="0"/>
          <w:szCs w:val="24"/>
        </w:rPr>
        <w:t>Банк обладает действующей лицензией на банковскую деятельность, выданной Банком России.</w:t>
      </w:r>
    </w:p>
    <w:p w:rsidR="009E332C" w:rsidRPr="00AC6D65" w:rsidRDefault="009E332C" w:rsidP="009E332C">
      <w:pPr>
        <w:pStyle w:val="-"/>
        <w:widowControl w:val="0"/>
        <w:numPr>
          <w:ilvl w:val="3"/>
          <w:numId w:val="2"/>
        </w:numPr>
        <w:tabs>
          <w:tab w:val="left" w:pos="284"/>
          <w:tab w:val="left" w:pos="840"/>
          <w:tab w:val="left" w:pos="993"/>
        </w:tabs>
        <w:spacing w:before="60" w:after="0" w:line="240" w:lineRule="auto"/>
        <w:ind w:left="0" w:firstLine="567"/>
        <w:jc w:val="both"/>
        <w:rPr>
          <w:b w:val="0"/>
          <w:szCs w:val="24"/>
        </w:rPr>
      </w:pPr>
      <w:r w:rsidRPr="00AC6D65">
        <w:rPr>
          <w:b w:val="0"/>
          <w:szCs w:val="24"/>
        </w:rPr>
        <w:t>Банк не находится в процессе ликвидации или банкротства, полномочия исполнительных органов банка не были приостановлены в соответствии с законодательством о банкротстве.</w:t>
      </w:r>
    </w:p>
    <w:p w:rsidR="009E332C" w:rsidRPr="00AC6D65" w:rsidRDefault="009E332C" w:rsidP="009E332C">
      <w:pPr>
        <w:pStyle w:val="-"/>
        <w:widowControl w:val="0"/>
        <w:numPr>
          <w:ilvl w:val="3"/>
          <w:numId w:val="2"/>
        </w:numPr>
        <w:tabs>
          <w:tab w:val="left" w:pos="284"/>
          <w:tab w:val="left" w:pos="840"/>
          <w:tab w:val="left" w:pos="993"/>
        </w:tabs>
        <w:spacing w:before="60" w:after="0" w:line="240" w:lineRule="auto"/>
        <w:ind w:left="0" w:firstLine="567"/>
        <w:jc w:val="both"/>
        <w:rPr>
          <w:b w:val="0"/>
          <w:szCs w:val="24"/>
        </w:rPr>
      </w:pPr>
      <w:r w:rsidRPr="00AC6D65">
        <w:rPr>
          <w:b w:val="0"/>
          <w:szCs w:val="24"/>
        </w:rPr>
        <w:t xml:space="preserve">На дату предоставления банковской гарантии банк входит в перечень кредитных организаций, имеющих право на открытие счетов и покрытых (депонированных) аккредитивов, заключение договоров банковского счета и договоров </w:t>
      </w:r>
      <w:r w:rsidRPr="00AC6D65">
        <w:rPr>
          <w:b w:val="0"/>
          <w:szCs w:val="24"/>
        </w:rPr>
        <w:lastRenderedPageBreak/>
        <w:t>банковского вклада (депозита) с хозяйственными обществами, имеющими стратегическое значение для оборонно-промышленного комплекса и безопасности Российской Федерации, а также обществами, находящимися под их прямым или косвенным контролем, по основаниям, предусмотренным частями 1 и 2 статьи 2 Федерального закона от 21 июля 2014 года № 213-ФЗ.</w:t>
      </w:r>
    </w:p>
    <w:p w:rsidR="009E332C" w:rsidRPr="00AC6D65" w:rsidRDefault="009E332C" w:rsidP="009E332C">
      <w:pPr>
        <w:pStyle w:val="-"/>
        <w:widowControl w:val="0"/>
        <w:numPr>
          <w:ilvl w:val="3"/>
          <w:numId w:val="2"/>
        </w:numPr>
        <w:tabs>
          <w:tab w:val="left" w:pos="284"/>
          <w:tab w:val="left" w:pos="840"/>
          <w:tab w:val="left" w:pos="993"/>
        </w:tabs>
        <w:spacing w:before="60" w:after="0" w:line="240" w:lineRule="auto"/>
        <w:ind w:left="0" w:firstLine="567"/>
        <w:jc w:val="both"/>
        <w:rPr>
          <w:b w:val="0"/>
          <w:szCs w:val="24"/>
        </w:rPr>
      </w:pPr>
      <w:r w:rsidRPr="00AC6D65">
        <w:rPr>
          <w:b w:val="0"/>
          <w:szCs w:val="24"/>
        </w:rPr>
        <w:t xml:space="preserve">Отсутствуют установленные в судебном порядке неправомерные отказы банка в платеже по банковской гарантии по требованию Общества в течение последних 24 месяцев </w:t>
      </w:r>
      <w:r w:rsidRPr="00AC6D65">
        <w:rPr>
          <w:b w:val="0"/>
          <w:bCs w:val="0"/>
          <w:szCs w:val="24"/>
        </w:rPr>
        <w:t>до даты заключения договора</w:t>
      </w:r>
      <w:r w:rsidRPr="00AC6D65">
        <w:rPr>
          <w:b w:val="0"/>
          <w:szCs w:val="24"/>
        </w:rPr>
        <w:t>.</w:t>
      </w:r>
    </w:p>
    <w:p w:rsidR="009E332C" w:rsidRPr="00AC6D65" w:rsidRDefault="009E332C" w:rsidP="009E332C">
      <w:pPr>
        <w:pStyle w:val="-"/>
        <w:widowControl w:val="0"/>
        <w:numPr>
          <w:ilvl w:val="3"/>
          <w:numId w:val="2"/>
        </w:numPr>
        <w:tabs>
          <w:tab w:val="left" w:pos="284"/>
          <w:tab w:val="left" w:pos="840"/>
          <w:tab w:val="left" w:pos="993"/>
        </w:tabs>
        <w:spacing w:before="60" w:after="0" w:line="240" w:lineRule="auto"/>
        <w:ind w:left="0" w:firstLine="567"/>
        <w:jc w:val="both"/>
        <w:rPr>
          <w:b w:val="0"/>
          <w:szCs w:val="24"/>
        </w:rPr>
      </w:pPr>
      <w:r w:rsidRPr="00AC6D65">
        <w:rPr>
          <w:b w:val="0"/>
          <w:bCs w:val="0"/>
          <w:szCs w:val="24"/>
        </w:rPr>
        <w:t>Отсутствуют установленные в судебном порядке неправомерные действия банка в отношении Общества.</w:t>
      </w:r>
    </w:p>
    <w:p w:rsidR="009E332C" w:rsidRPr="00AC6D65" w:rsidRDefault="009E332C" w:rsidP="009E332C">
      <w:pPr>
        <w:pStyle w:val="-"/>
        <w:widowControl w:val="0"/>
        <w:numPr>
          <w:ilvl w:val="3"/>
          <w:numId w:val="2"/>
        </w:numPr>
        <w:tabs>
          <w:tab w:val="left" w:pos="284"/>
          <w:tab w:val="left" w:pos="840"/>
          <w:tab w:val="left" w:pos="993"/>
        </w:tabs>
        <w:spacing w:before="60" w:after="0" w:line="240" w:lineRule="auto"/>
        <w:ind w:left="0" w:firstLine="567"/>
        <w:jc w:val="both"/>
        <w:rPr>
          <w:b w:val="0"/>
          <w:szCs w:val="24"/>
        </w:rPr>
      </w:pPr>
      <w:r w:rsidRPr="00AC6D65">
        <w:rPr>
          <w:b w:val="0"/>
          <w:bCs w:val="0"/>
          <w:szCs w:val="24"/>
        </w:rPr>
        <w:t>Отсутствует публичная информация о наличии существенных рисков утраты платежеспособности банка.</w:t>
      </w:r>
    </w:p>
    <w:p w:rsidR="009E332C" w:rsidRPr="00AC6D65" w:rsidRDefault="009E332C" w:rsidP="009E332C">
      <w:pPr>
        <w:pStyle w:val="-"/>
        <w:widowControl w:val="0"/>
        <w:numPr>
          <w:ilvl w:val="3"/>
          <w:numId w:val="2"/>
        </w:numPr>
        <w:tabs>
          <w:tab w:val="left" w:pos="284"/>
          <w:tab w:val="left" w:pos="840"/>
          <w:tab w:val="left" w:pos="993"/>
        </w:tabs>
        <w:spacing w:before="60" w:after="0" w:line="240" w:lineRule="auto"/>
        <w:ind w:left="0" w:firstLine="567"/>
        <w:jc w:val="both"/>
        <w:rPr>
          <w:b w:val="0"/>
          <w:szCs w:val="24"/>
        </w:rPr>
      </w:pPr>
      <w:r w:rsidRPr="00AC6D65">
        <w:rPr>
          <w:b w:val="0"/>
          <w:szCs w:val="24"/>
        </w:rPr>
        <w:t xml:space="preserve">Собственный капитал гаранта должен превышать либо быть равен 9 млрд. рублей и активы гаранта должны </w:t>
      </w:r>
      <w:r w:rsidR="00E30649" w:rsidRPr="00AC6D65">
        <w:rPr>
          <w:b w:val="0"/>
          <w:szCs w:val="24"/>
        </w:rPr>
        <w:t>превышать,</w:t>
      </w:r>
      <w:r w:rsidRPr="00AC6D65">
        <w:rPr>
          <w:b w:val="0"/>
          <w:szCs w:val="24"/>
        </w:rPr>
        <w:t xml:space="preserve"> либо быть равны 50 млрд. рублей (только для целей принятия банковских гарантий обеспечения исполнения контрагентом обязательств по договору (в том числе гарантийных обязательств, обязательств по возврату авансовых платежей и т.д.).</w:t>
      </w:r>
    </w:p>
    <w:p w:rsidR="009E332C" w:rsidRPr="00AC6D65" w:rsidRDefault="009E332C" w:rsidP="009E332C">
      <w:pPr>
        <w:pStyle w:val="-"/>
        <w:widowControl w:val="0"/>
        <w:numPr>
          <w:ilvl w:val="2"/>
          <w:numId w:val="2"/>
        </w:numPr>
        <w:tabs>
          <w:tab w:val="left" w:pos="284"/>
          <w:tab w:val="left" w:pos="840"/>
          <w:tab w:val="left" w:pos="993"/>
        </w:tabs>
        <w:spacing w:before="60" w:after="0" w:line="240" w:lineRule="auto"/>
        <w:ind w:left="0" w:firstLine="567"/>
        <w:jc w:val="both"/>
        <w:rPr>
          <w:b w:val="0"/>
          <w:szCs w:val="24"/>
        </w:rPr>
      </w:pPr>
      <w:r w:rsidRPr="00AC6D65">
        <w:rPr>
          <w:b w:val="0"/>
          <w:szCs w:val="24"/>
        </w:rPr>
        <w:t>Требования к банковской гарантии в зависимости от суммы выдаваемых банковских гарантий (только для банковских гарантий обеспечения исполнения контрагентом обязательств по договору (в том числе гарантийных обязательств, обязательств по возврату авансовых платежей и т.д.)/ комфортного письма в рамках закупки, подтверждающее возможность предоставления банком банковской гарантии в обеспечение исполнения обязательств по договору):</w:t>
      </w:r>
    </w:p>
    <w:p w:rsidR="009E332C" w:rsidRPr="00AC6D65" w:rsidRDefault="009E332C" w:rsidP="009E332C">
      <w:pPr>
        <w:pStyle w:val="-"/>
        <w:widowControl w:val="0"/>
        <w:numPr>
          <w:ilvl w:val="3"/>
          <w:numId w:val="2"/>
        </w:numPr>
        <w:tabs>
          <w:tab w:val="left" w:pos="284"/>
          <w:tab w:val="left" w:pos="840"/>
          <w:tab w:val="left" w:pos="993"/>
        </w:tabs>
        <w:spacing w:before="60" w:after="0" w:line="240" w:lineRule="auto"/>
        <w:ind w:left="0" w:firstLine="567"/>
        <w:jc w:val="both"/>
        <w:rPr>
          <w:b w:val="0"/>
          <w:szCs w:val="24"/>
        </w:rPr>
      </w:pPr>
      <w:r w:rsidRPr="00AC6D65">
        <w:rPr>
          <w:b w:val="0"/>
          <w:szCs w:val="24"/>
        </w:rPr>
        <w:t>Сумма действующих банковских гарантий, принимаемых в обеспечение исполнения обязательств в рамках одного договора, не должна превышать 0,2% от активов гаранта по состоянию на первое число месяца, предшествующего месяцу предоставления банковской гарантии.</w:t>
      </w:r>
    </w:p>
    <w:p w:rsidR="009E332C" w:rsidRPr="00AC6D65" w:rsidRDefault="009E332C" w:rsidP="009E332C">
      <w:pPr>
        <w:pStyle w:val="-"/>
        <w:widowControl w:val="0"/>
        <w:numPr>
          <w:ilvl w:val="3"/>
          <w:numId w:val="2"/>
        </w:numPr>
        <w:tabs>
          <w:tab w:val="left" w:pos="284"/>
          <w:tab w:val="left" w:pos="840"/>
          <w:tab w:val="left" w:pos="993"/>
        </w:tabs>
        <w:spacing w:before="60" w:after="0" w:line="240" w:lineRule="auto"/>
        <w:ind w:left="0" w:firstLine="567"/>
        <w:jc w:val="both"/>
        <w:rPr>
          <w:b w:val="0"/>
          <w:szCs w:val="24"/>
        </w:rPr>
      </w:pPr>
      <w:r w:rsidRPr="00AC6D65">
        <w:rPr>
          <w:b w:val="0"/>
          <w:szCs w:val="24"/>
        </w:rPr>
        <w:t>Общая сумма принятых Обществом действующих банковских гарантий, выданных одним гарантом, не должна превышать 1% активов гаранта по состоянию на первое число месяца, предшествующего месяцу предоставления банковской гарантии.</w:t>
      </w:r>
    </w:p>
    <w:p w:rsidR="0033424D" w:rsidRDefault="0033424D" w:rsidP="009E332C">
      <w:pPr>
        <w:rPr>
          <w:rFonts w:ascii="Times New Roman" w:hAnsi="Times New Roman" w:cs="Times New Roman"/>
          <w:sz w:val="24"/>
          <w:szCs w:val="24"/>
        </w:rPr>
      </w:pPr>
    </w:p>
    <w:p w:rsidR="0033424D" w:rsidRDefault="0033424D" w:rsidP="009E33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9E332C" w:rsidRPr="00AC6D65" w:rsidRDefault="009E332C" w:rsidP="0033424D">
      <w:pPr>
        <w:jc w:val="both"/>
        <w:rPr>
          <w:rFonts w:ascii="Times New Roman" w:hAnsi="Times New Roman" w:cs="Times New Roman"/>
          <w:kern w:val="56"/>
          <w:position w:val="8"/>
          <w:sz w:val="24"/>
          <w:szCs w:val="24"/>
        </w:rPr>
      </w:pPr>
      <w:r w:rsidRPr="00AC6D65">
        <w:rPr>
          <w:rFonts w:ascii="Times New Roman" w:hAnsi="Times New Roman" w:cs="Times New Roman"/>
          <w:sz w:val="24"/>
          <w:szCs w:val="24"/>
        </w:rPr>
        <w:t>ФУ ИА Общества/экономический блок филиала с целью проверки соответствия банков-гарантов требованиям Регламента на постоянной основе осуществляют мониторинг банков-гарантов по действующим банковским гарантиям, предоставленным в качестве обеспечения исполнения обязательств по договорам Общества/филиала</w:t>
      </w:r>
    </w:p>
    <w:p w:rsidR="009E332C" w:rsidRDefault="009E332C" w:rsidP="0033424D">
      <w:pPr>
        <w:jc w:val="both"/>
        <w:rPr>
          <w:rFonts w:ascii="Times New Roman" w:hAnsi="Times New Roman" w:cs="Times New Roman"/>
          <w:kern w:val="56"/>
          <w:position w:val="8"/>
          <w:sz w:val="24"/>
          <w:szCs w:val="24"/>
        </w:rPr>
      </w:pPr>
      <w:bookmarkStart w:id="1" w:name="_GoBack"/>
      <w:bookmarkEnd w:id="1"/>
    </w:p>
    <w:sectPr w:rsidR="009E332C" w:rsidSect="00AC6D6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03A14"/>
    <w:multiLevelType w:val="multilevel"/>
    <w:tmpl w:val="C5ACE46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02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8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48" w:hanging="1800"/>
      </w:pPr>
      <w:rPr>
        <w:rFonts w:hint="default"/>
      </w:rPr>
    </w:lvl>
  </w:abstractNum>
  <w:abstractNum w:abstractNumId="1" w15:restartNumberingAfterBreak="0">
    <w:nsid w:val="5F615224"/>
    <w:multiLevelType w:val="multilevel"/>
    <w:tmpl w:val="C91CC3FA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6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abstractNum w:abstractNumId="2" w15:restartNumberingAfterBreak="0">
    <w:nsid w:val="63F6195F"/>
    <w:multiLevelType w:val="multilevel"/>
    <w:tmpl w:val="872C37E0"/>
    <w:lvl w:ilvl="0">
      <w:start w:val="1"/>
      <w:numFmt w:val="decimal"/>
      <w:lvlText w:val="%1."/>
      <w:lvlJc w:val="left"/>
      <w:pPr>
        <w:ind w:left="3763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color w:val="auto"/>
        <w:lang w:val="ru-RU"/>
      </w:rPr>
    </w:lvl>
    <w:lvl w:ilvl="2">
      <w:start w:val="1"/>
      <w:numFmt w:val="decimal"/>
      <w:lvlText w:val="%1.%2.%3."/>
      <w:lvlJc w:val="left"/>
      <w:pPr>
        <w:ind w:left="5466" w:hanging="504"/>
      </w:pPr>
      <w:rPr>
        <w:rFonts w:hint="default"/>
        <w:b w:val="0"/>
        <w:color w:val="auto"/>
      </w:rPr>
    </w:lvl>
    <w:lvl w:ilvl="3">
      <w:start w:val="1"/>
      <w:numFmt w:val="russianLower"/>
      <w:lvlText w:val="%4)"/>
      <w:lvlJc w:val="left"/>
      <w:pPr>
        <w:ind w:left="5131" w:hanging="648"/>
      </w:pPr>
      <w:rPr>
        <w:rFonts w:hint="default"/>
        <w:color w:val="auto"/>
      </w:rPr>
    </w:lvl>
    <w:lvl w:ilvl="4">
      <w:start w:val="1"/>
      <w:numFmt w:val="bullet"/>
      <w:lvlText w:val=""/>
      <w:lvlJc w:val="left"/>
      <w:pPr>
        <w:ind w:left="5635" w:hanging="792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61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3" w:hanging="1440"/>
      </w:pPr>
      <w:rPr>
        <w:rFonts w:hint="default"/>
      </w:rPr>
    </w:lvl>
  </w:abstractNum>
  <w:abstractNum w:abstractNumId="3" w15:restartNumberingAfterBreak="0">
    <w:nsid w:val="6AEA70B5"/>
    <w:multiLevelType w:val="multilevel"/>
    <w:tmpl w:val="47747F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0B4"/>
    <w:rsid w:val="002038B9"/>
    <w:rsid w:val="0033424D"/>
    <w:rsid w:val="009E332C"/>
    <w:rsid w:val="00AC6D65"/>
    <w:rsid w:val="00E300B4"/>
    <w:rsid w:val="00E3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56A5B"/>
  <w15:chartTrackingRefBased/>
  <w15:docId w15:val="{B26FE4AE-E83F-4B32-8ED3-E047CB14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32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3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-">
    <w:name w:val="_Маркер (номер) - с заголовком"/>
    <w:basedOn w:val="a"/>
    <w:rsid w:val="009E332C"/>
    <w:pPr>
      <w:spacing w:before="240" w:after="60" w:line="360" w:lineRule="auto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4">
    <w:name w:val="Hyperlink"/>
    <w:basedOn w:val="a0"/>
    <w:uiPriority w:val="99"/>
    <w:unhideWhenUsed/>
    <w:rsid w:val="00E306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3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Столярова Лариса Павловна</dc:creator>
  <cp:keywords/>
  <dc:description/>
  <cp:lastModifiedBy>Савченко Юлия Васильевна</cp:lastModifiedBy>
  <cp:revision>3</cp:revision>
  <dcterms:created xsi:type="dcterms:W3CDTF">2017-10-25T06:21:00Z</dcterms:created>
  <dcterms:modified xsi:type="dcterms:W3CDTF">2017-10-25T06:22:00Z</dcterms:modified>
</cp:coreProperties>
</file>