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 w:val="0"/>
        <w:suppressAutoHyphens/>
        <w:autoSpaceDE w:val="0"/>
        <w:autoSpaceDN w:val="0"/>
        <w:spacing w:after="0" w:line="240" w:lineRule="auto"/>
        <w:ind w:right="4677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-1083945</wp:posOffset>
            </wp:positionH>
            <wp:positionV relativeFrom="paragraph">
              <wp:posOffset>-634670</wp:posOffset>
            </wp:positionV>
            <wp:extent cx="7509163" cy="2195846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lum bright="-11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42"/>
                    <a:stretch/>
                  </pic:blipFill>
                  <pic:spPr bwMode="auto">
                    <a:xfrm>
                      <a:off x="0" y="0"/>
                      <a:ext cx="7509163" cy="2195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widowControl w:val="0"/>
        <w:suppressAutoHyphens/>
        <w:autoSpaceDE w:val="0"/>
        <w:autoSpaceDN w:val="0"/>
        <w:spacing w:after="0" w:line="240" w:lineRule="auto"/>
        <w:ind w:right="467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widowControl w:val="0"/>
        <w:suppressAutoHyphens/>
        <w:autoSpaceDE w:val="0"/>
        <w:autoSpaceDN w:val="0"/>
        <w:spacing w:after="0" w:line="240" w:lineRule="auto"/>
        <w:ind w:right="467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widowControl w:val="0"/>
        <w:suppressAutoHyphens/>
        <w:autoSpaceDE w:val="0"/>
        <w:autoSpaceDN w:val="0"/>
        <w:spacing w:after="0" w:line="240" w:lineRule="auto"/>
        <w:ind w:right="467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widowControl w:val="0"/>
        <w:suppressAutoHyphens/>
        <w:autoSpaceDE w:val="0"/>
        <w:autoSpaceDN w:val="0"/>
        <w:spacing w:after="0" w:line="240" w:lineRule="auto"/>
        <w:ind w:right="467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widowControl w:val="0"/>
        <w:suppressAutoHyphens/>
        <w:autoSpaceDE w:val="0"/>
        <w:autoSpaceDN w:val="0"/>
        <w:spacing w:after="0" w:line="240" w:lineRule="auto"/>
        <w:ind w:right="467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widowControl w:val="0"/>
        <w:suppressAutoHyphens/>
        <w:autoSpaceDE w:val="0"/>
        <w:autoSpaceDN w:val="0"/>
        <w:spacing w:after="0" w:line="240" w:lineRule="auto"/>
        <w:ind w:right="-1"/>
        <w:jc w:val="both"/>
        <w:rPr>
          <w:rFonts w:asciiTheme="minorHAnsi" w:eastAsia="Times New Roman" w:hAnsiTheme="minorHAnsi"/>
          <w:sz w:val="28"/>
          <w:szCs w:val="28"/>
          <w:lang w:eastAsia="ru-RU"/>
        </w:rPr>
      </w:pPr>
      <w:r>
        <w:rPr>
          <w:rFonts w:asciiTheme="minorHAnsi" w:eastAsia="Times New Roman" w:hAnsiTheme="minorHAnsi"/>
          <w:sz w:val="28"/>
          <w:szCs w:val="28"/>
          <w:lang w:eastAsia="ru-RU"/>
        </w:rPr>
        <w:t xml:space="preserve">             04.04.2018</w:t>
      </w:r>
      <w:r>
        <w:rPr>
          <w:rFonts w:asciiTheme="minorHAnsi" w:eastAsia="Times New Roman" w:hAnsiTheme="minorHAnsi"/>
          <w:sz w:val="28"/>
          <w:szCs w:val="28"/>
          <w:lang w:eastAsia="ru-RU"/>
        </w:rPr>
        <w:tab/>
      </w:r>
      <w:r>
        <w:rPr>
          <w:rFonts w:asciiTheme="minorHAnsi" w:eastAsia="Times New Roman" w:hAnsiTheme="minorHAnsi"/>
          <w:sz w:val="28"/>
          <w:szCs w:val="28"/>
          <w:lang w:eastAsia="ru-RU"/>
        </w:rPr>
        <w:tab/>
      </w:r>
      <w:r>
        <w:rPr>
          <w:rFonts w:asciiTheme="minorHAnsi" w:eastAsia="Times New Roman" w:hAnsiTheme="minorHAnsi"/>
          <w:sz w:val="28"/>
          <w:szCs w:val="28"/>
          <w:lang w:eastAsia="ru-RU"/>
        </w:rPr>
        <w:tab/>
      </w:r>
      <w:r>
        <w:rPr>
          <w:rFonts w:asciiTheme="minorHAnsi" w:eastAsia="Times New Roman" w:hAnsiTheme="minorHAnsi"/>
          <w:sz w:val="28"/>
          <w:szCs w:val="28"/>
          <w:lang w:eastAsia="ru-RU"/>
        </w:rPr>
        <w:tab/>
      </w:r>
      <w:r>
        <w:rPr>
          <w:rFonts w:asciiTheme="minorHAnsi" w:eastAsia="Times New Roman" w:hAnsiTheme="minorHAnsi"/>
          <w:sz w:val="28"/>
          <w:szCs w:val="28"/>
          <w:lang w:eastAsia="ru-RU"/>
        </w:rPr>
        <w:tab/>
      </w:r>
      <w:r>
        <w:rPr>
          <w:rFonts w:asciiTheme="minorHAnsi" w:eastAsia="Times New Roman" w:hAnsiTheme="minorHAnsi"/>
          <w:sz w:val="28"/>
          <w:szCs w:val="28"/>
          <w:lang w:eastAsia="ru-RU"/>
        </w:rPr>
        <w:tab/>
      </w:r>
      <w:r>
        <w:rPr>
          <w:rFonts w:asciiTheme="minorHAnsi" w:eastAsia="Times New Roman" w:hAnsiTheme="minorHAnsi"/>
          <w:sz w:val="28"/>
          <w:szCs w:val="28"/>
          <w:lang w:eastAsia="ru-RU"/>
        </w:rPr>
        <w:tab/>
      </w:r>
      <w:r>
        <w:rPr>
          <w:rFonts w:asciiTheme="minorHAnsi" w:eastAsia="Times New Roman" w:hAnsiTheme="minorHAnsi"/>
          <w:sz w:val="28"/>
          <w:szCs w:val="28"/>
          <w:lang w:eastAsia="ru-RU"/>
        </w:rPr>
        <w:tab/>
      </w:r>
      <w:r>
        <w:rPr>
          <w:rFonts w:asciiTheme="minorHAnsi" w:eastAsia="Times New Roman" w:hAnsiTheme="minorHAnsi"/>
          <w:sz w:val="28"/>
          <w:szCs w:val="28"/>
          <w:lang w:eastAsia="ru-RU"/>
        </w:rPr>
        <w:tab/>
        <w:t xml:space="preserve">161р               </w:t>
      </w:r>
      <w:r>
        <w:rPr>
          <w:rFonts w:asciiTheme="minorHAnsi" w:eastAsia="Times New Roman" w:hAnsiTheme="minorHAnsi"/>
          <w:sz w:val="28"/>
          <w:szCs w:val="28"/>
          <w:lang w:eastAsia="ru-RU"/>
        </w:rPr>
        <w:tab/>
      </w:r>
      <w:r>
        <w:rPr>
          <w:rFonts w:asciiTheme="minorHAnsi" w:eastAsia="Times New Roman" w:hAnsiTheme="minorHAnsi"/>
          <w:sz w:val="28"/>
          <w:szCs w:val="28"/>
          <w:lang w:eastAsia="ru-RU"/>
        </w:rPr>
        <w:tab/>
      </w:r>
      <w:r>
        <w:rPr>
          <w:rFonts w:asciiTheme="minorHAnsi" w:eastAsia="Times New Roman" w:hAnsiTheme="minorHAnsi"/>
          <w:sz w:val="28"/>
          <w:szCs w:val="28"/>
          <w:lang w:eastAsia="ru-RU"/>
        </w:rPr>
        <w:tab/>
      </w:r>
      <w:r>
        <w:rPr>
          <w:rFonts w:asciiTheme="minorHAnsi" w:eastAsia="Times New Roman" w:hAnsiTheme="minorHAnsi"/>
          <w:sz w:val="28"/>
          <w:szCs w:val="28"/>
          <w:lang w:eastAsia="ru-RU"/>
        </w:rPr>
        <w:tab/>
      </w:r>
      <w:r>
        <w:rPr>
          <w:rFonts w:asciiTheme="minorHAnsi" w:eastAsia="Times New Roman" w:hAnsiTheme="minorHAnsi"/>
          <w:sz w:val="28"/>
          <w:szCs w:val="28"/>
          <w:lang w:eastAsia="ru-RU"/>
        </w:rPr>
        <w:tab/>
      </w:r>
      <w:r>
        <w:rPr>
          <w:rFonts w:asciiTheme="minorHAnsi" w:eastAsia="Times New Roman" w:hAnsiTheme="minorHAnsi"/>
          <w:sz w:val="28"/>
          <w:szCs w:val="28"/>
          <w:lang w:eastAsia="ru-RU"/>
        </w:rPr>
        <w:tab/>
      </w:r>
      <w:r>
        <w:rPr>
          <w:rFonts w:asciiTheme="minorHAnsi" w:eastAsia="Times New Roman" w:hAnsiTheme="minorHAnsi"/>
          <w:sz w:val="28"/>
          <w:szCs w:val="28"/>
          <w:lang w:eastAsia="ru-RU"/>
        </w:rPr>
        <w:tab/>
        <w:t xml:space="preserve">           </w:t>
      </w:r>
      <w:r>
        <w:rPr>
          <w:rFonts w:asciiTheme="minorHAnsi" w:eastAsia="Times New Roman" w:hAnsiTheme="minorHAnsi"/>
          <w:sz w:val="28"/>
          <w:szCs w:val="28"/>
          <w:lang w:eastAsia="ru-RU"/>
        </w:rPr>
        <w:tab/>
      </w:r>
      <w:r>
        <w:rPr>
          <w:rFonts w:asciiTheme="minorHAnsi" w:eastAsia="Times New Roman" w:hAnsiTheme="minorHAnsi"/>
          <w:sz w:val="28"/>
          <w:szCs w:val="28"/>
          <w:lang w:eastAsia="ru-RU"/>
        </w:rPr>
        <w:tab/>
      </w:r>
      <w:r>
        <w:rPr>
          <w:rFonts w:asciiTheme="minorHAnsi" w:eastAsia="Times New Roman" w:hAnsiTheme="minorHAnsi"/>
          <w:sz w:val="28"/>
          <w:szCs w:val="28"/>
          <w:lang w:eastAsia="ru-RU"/>
        </w:rPr>
        <w:tab/>
      </w:r>
      <w:r>
        <w:rPr>
          <w:rFonts w:asciiTheme="minorHAnsi" w:eastAsia="Times New Roman" w:hAnsiTheme="minorHAnsi"/>
          <w:sz w:val="28"/>
          <w:szCs w:val="28"/>
          <w:lang w:eastAsia="ru-RU"/>
        </w:rPr>
        <w:tab/>
      </w:r>
      <w:r>
        <w:rPr>
          <w:rFonts w:asciiTheme="minorHAnsi" w:eastAsia="Times New Roman" w:hAnsiTheme="minorHAnsi"/>
          <w:sz w:val="28"/>
          <w:szCs w:val="28"/>
          <w:lang w:eastAsia="ru-RU"/>
        </w:rPr>
        <w:tab/>
      </w:r>
      <w:r>
        <w:rPr>
          <w:rFonts w:asciiTheme="minorHAnsi" w:eastAsia="Times New Roman" w:hAnsiTheme="minorHAnsi"/>
          <w:sz w:val="28"/>
          <w:szCs w:val="28"/>
          <w:lang w:eastAsia="ru-RU"/>
        </w:rPr>
        <w:tab/>
      </w:r>
      <w:r>
        <w:rPr>
          <w:rFonts w:asciiTheme="minorHAnsi" w:eastAsia="Times New Roman" w:hAnsiTheme="minorHAnsi"/>
          <w:sz w:val="28"/>
          <w:szCs w:val="28"/>
          <w:lang w:eastAsia="ru-RU"/>
        </w:rPr>
        <w:tab/>
      </w:r>
      <w:r>
        <w:rPr>
          <w:rFonts w:asciiTheme="minorHAnsi" w:eastAsia="Times New Roman" w:hAnsiTheme="minorHAnsi"/>
          <w:sz w:val="28"/>
          <w:szCs w:val="28"/>
          <w:lang w:eastAsia="ru-RU"/>
        </w:rPr>
        <w:tab/>
      </w:r>
      <w:r>
        <w:rPr>
          <w:rFonts w:asciiTheme="minorHAnsi" w:eastAsia="Times New Roman" w:hAnsiTheme="minorHAnsi"/>
          <w:sz w:val="28"/>
          <w:szCs w:val="28"/>
          <w:lang w:eastAsia="ru-RU"/>
        </w:rPr>
        <w:tab/>
        <w:t xml:space="preserve">  </w:t>
      </w:r>
    </w:p>
    <w:p>
      <w:pPr>
        <w:widowControl w:val="0"/>
        <w:suppressAutoHyphens/>
        <w:autoSpaceDN w:val="0"/>
        <w:spacing w:after="0" w:line="240" w:lineRule="auto"/>
        <w:ind w:right="52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>
      <w:pPr>
        <w:widowControl w:val="0"/>
        <w:suppressAutoHyphens/>
        <w:autoSpaceDN w:val="0"/>
        <w:spacing w:after="0" w:line="240" w:lineRule="auto"/>
        <w:ind w:right="52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 распоряжение ПАО «Россети» от 12.03.2018 № 90р</w:t>
      </w:r>
    </w:p>
    <w:bookmarkEnd w:id="0"/>
    <w:p>
      <w:pPr>
        <w:widowControl w:val="0"/>
        <w:suppressAutoHyphens/>
        <w:autoSpaceDN w:val="0"/>
        <w:spacing w:after="0" w:line="240" w:lineRule="auto"/>
        <w:ind w:right="609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>
      <w:pPr>
        <w:widowControl w:val="0"/>
        <w:suppressAutoHyphens/>
        <w:autoSpaceDN w:val="0"/>
        <w:spacing w:after="0" w:line="240" w:lineRule="auto"/>
        <w:ind w:right="609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>
      <w:pPr>
        <w:pStyle w:val="2"/>
        <w:widowControl w:val="0"/>
        <w:spacing w:line="240" w:lineRule="auto"/>
      </w:pPr>
      <w:r>
        <w:rPr>
          <w:spacing w:val="-4"/>
        </w:rPr>
        <w:t xml:space="preserve">В целях оптимального распределения </w:t>
      </w:r>
      <w:r>
        <w:t xml:space="preserve">ДЗО ПАО «Россети» - участников </w:t>
      </w:r>
      <w:r>
        <w:rPr>
          <w:rFonts w:eastAsia="Times New Roman"/>
        </w:rPr>
        <w:t xml:space="preserve">Открытого корпоративного чемпионата профессионального мастерства ПАО «Россети» «Молодые профессионалы» по методике </w:t>
      </w:r>
      <w:proofErr w:type="spellStart"/>
      <w:r>
        <w:rPr>
          <w:rFonts w:eastAsia="Times New Roman"/>
        </w:rPr>
        <w:t>WorldSkills</w:t>
      </w:r>
      <w:proofErr w:type="spellEnd"/>
      <w:r>
        <w:rPr>
          <w:rFonts w:eastAsia="Times New Roman"/>
        </w:rPr>
        <w:t>, а также уточнения тематики этапов чемпионата:</w:t>
      </w:r>
    </w:p>
    <w:p>
      <w:pPr>
        <w:pStyle w:val="2"/>
        <w:widowControl w:val="0"/>
        <w:spacing w:line="240" w:lineRule="auto"/>
      </w:pPr>
    </w:p>
    <w:p>
      <w:pPr>
        <w:pStyle w:val="2"/>
        <w:widowControl w:val="0"/>
        <w:spacing w:line="240" w:lineRule="auto"/>
      </w:pPr>
      <w:r>
        <w:t xml:space="preserve">Внести в </w:t>
      </w:r>
      <w:r>
        <w:rPr>
          <w:rFonts w:eastAsia="Times New Roman"/>
        </w:rPr>
        <w:t xml:space="preserve">распоряжение ПАО «Россети» от 12.03.2018 № 90р </w:t>
      </w:r>
      <w:r>
        <w:rPr>
          <w:rFonts w:eastAsia="Times New Roman"/>
        </w:rPr>
        <w:br/>
        <w:t xml:space="preserve">«О подготовке к проведению чемпионата профессионального мастерства по методике </w:t>
      </w:r>
      <w:proofErr w:type="spellStart"/>
      <w:r>
        <w:rPr>
          <w:rFonts w:eastAsia="Times New Roman"/>
        </w:rPr>
        <w:t>WorldSkills</w:t>
      </w:r>
      <w:proofErr w:type="spellEnd"/>
      <w:r>
        <w:rPr>
          <w:rFonts w:eastAsia="Times New Roman"/>
        </w:rPr>
        <w:t xml:space="preserve"> в 2018 году» (далее - Распоряжение) следующие изменения:</w:t>
      </w:r>
    </w:p>
    <w:p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Изложить пункт 2 в следующей редакции: </w:t>
      </w:r>
    </w:p>
    <w:p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«2. Определить ответственными за организацию и проведение Чемпионата в соответствующих регионах присутствия Группы компаний «Россети» следующие ДЗО ПАО «Россети»: </w:t>
      </w:r>
    </w:p>
    <w:p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ОАО «МРСК Урала» (участники: ОАО «МРСК Урала», ПАО «МРСК Сибири», ПАО «ТРК»);</w:t>
      </w:r>
    </w:p>
    <w:p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ПАО «МРСК Юга» (участники: ПАО «МРСК Юга», ПАО «МРСК Северного Кавказа», ПАО «МРСК Волги»);</w:t>
      </w:r>
    </w:p>
    <w:p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ПАО «Кубаньэнерго» (участники: ПАО «Кубаньэнерго», АО «Тюменьэнерго», ПАО «ФСК ЕЭС»);</w:t>
      </w:r>
    </w:p>
    <w:p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ПАО «МОЭСК» (ПАО «МОЭСК», ПАО «МРСК Центра», ПАО «МРСК Центра и Приволжья»);</w:t>
      </w:r>
    </w:p>
    <w:p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ПАО «МРСК Северо-Запада» (участники: ПАО «МРСК Северо-Запада», ПАО «Ленэнерго», АО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Янтарьэнерго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»).».</w:t>
      </w:r>
    </w:p>
    <w:p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Изложить пункт 3 приложения 3 к Распоряжению в следующей редакции:</w:t>
      </w:r>
    </w:p>
    <w:p>
      <w:pPr>
        <w:tabs>
          <w:tab w:val="left" w:pos="1418"/>
        </w:tabs>
        <w:autoSpaceDN w:val="0"/>
        <w:spacing w:before="120" w:after="120" w:line="240" w:lineRule="auto"/>
        <w:ind w:left="349"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«3.</w:t>
      </w:r>
      <w:r>
        <w:rPr>
          <w:rFonts w:ascii="Times New Roman" w:hAnsi="Times New Roman"/>
          <w:b/>
          <w:sz w:val="28"/>
          <w:szCs w:val="28"/>
        </w:rPr>
        <w:tab/>
        <w:t>По компетенции «Интеллектуальная система учета электроэнергии»</w:t>
      </w:r>
    </w:p>
    <w:p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Проверка знаний действующих правил, инструкций и норм с применением программного комплекса «АСОП-Эксперт»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предквалификация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Проектирование шкафа коммерческого учета электроэнергии.</w:t>
      </w:r>
    </w:p>
    <w:p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Монтаж шкафа коммерческого учета электроэнергии.</w:t>
      </w:r>
    </w:p>
    <w:p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Пусконаладочные работы (программирование приборов учета, настройка канала связи, организация удаленного сбора данных).</w:t>
      </w:r>
    </w:p>
    <w:p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Замена приборов учета и устройства сбора-передачи данных, перепрограммирование.</w:t>
      </w:r>
    </w:p>
    <w:p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Поиск и устранение неисправностей в схеме учета электроэнергии.».</w:t>
      </w:r>
    </w:p>
    <w:p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ru-RU"/>
        </w:rPr>
      </w:pPr>
    </w:p>
    <w:p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ru-RU"/>
        </w:rPr>
      </w:pPr>
    </w:p>
    <w:p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Исполняющий обязанности</w:t>
      </w:r>
    </w:p>
    <w:p>
      <w:pPr>
        <w:widowControl w:val="0"/>
        <w:tabs>
          <w:tab w:val="left" w:pos="7513"/>
        </w:tabs>
        <w:suppressAutoHyphens/>
        <w:autoSpaceDN w:val="0"/>
        <w:spacing w:after="0" w:line="240" w:lineRule="auto"/>
        <w:jc w:val="both"/>
        <w:rPr>
          <w:rFonts w:ascii="Times New Roman" w:eastAsia="SimSu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главного инженера</w:t>
      </w:r>
      <w:r>
        <w:rPr>
          <w:rFonts w:ascii="Times New Roman" w:eastAsia="SimSu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В.Л.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Пелымский</w:t>
      </w:r>
      <w:proofErr w:type="spellEnd"/>
    </w:p>
    <w:p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Рассылается: секретариаты Гвоздева Д.Б., Сергеевой О.А., главному советнику Романовской Л.А., Департамент оперативно-технологического управления, Департамент </w:t>
      </w:r>
      <w:r>
        <w:rPr>
          <w:rFonts w:ascii="Times New Roman" w:hAnsi="Times New Roman"/>
          <w:bCs/>
          <w:sz w:val="24"/>
          <w:szCs w:val="24"/>
        </w:rPr>
        <w:t>кадровой политики и организационного развития,</w:t>
      </w:r>
      <w:r>
        <w:rPr>
          <w:rFonts w:ascii="Times New Roman" w:hAnsi="Times New Roman"/>
          <w:sz w:val="24"/>
          <w:szCs w:val="24"/>
        </w:rPr>
        <w:t xml:space="preserve"> Департамент информационной политики и связей с общественностью, Департамент технологического развития и инноваций, Департамент экономического планирования и бюджетирования,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Департамент учета электроэнергии и взаимодействия с субъектами рынков электроэнергии,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ДЗО ПАО «Россети».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Пелымский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В.Л.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Иванов С.В. 37-29</w:t>
      </w:r>
    </w:p>
    <w:p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Визы: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Style w:val="webofficeattributevalue"/>
          <w:rFonts w:ascii="Times New Roman" w:hAnsi="Times New Roman"/>
          <w:sz w:val="24"/>
          <w:szCs w:val="24"/>
        </w:rPr>
        <w:t xml:space="preserve">Раков А.В., Бобков Д.А., Ящерицына Ю.В., </w:t>
      </w:r>
      <w:proofErr w:type="spellStart"/>
      <w:r>
        <w:rPr>
          <w:rStyle w:val="webofficeattributevalue"/>
          <w:rFonts w:ascii="Times New Roman" w:hAnsi="Times New Roman"/>
          <w:sz w:val="24"/>
          <w:szCs w:val="24"/>
        </w:rPr>
        <w:t>Чевкин</w:t>
      </w:r>
      <w:proofErr w:type="spellEnd"/>
      <w:r>
        <w:rPr>
          <w:rStyle w:val="webofficeattributevalue"/>
          <w:rFonts w:ascii="Times New Roman" w:hAnsi="Times New Roman"/>
          <w:sz w:val="24"/>
          <w:szCs w:val="24"/>
        </w:rPr>
        <w:t xml:space="preserve"> Д.А., </w:t>
      </w:r>
      <w:proofErr w:type="spellStart"/>
      <w:r>
        <w:rPr>
          <w:rStyle w:val="webofficeattributevalue"/>
          <w:rFonts w:ascii="Times New Roman" w:hAnsi="Times New Roman"/>
          <w:sz w:val="24"/>
          <w:szCs w:val="24"/>
        </w:rPr>
        <w:t>Пелымский</w:t>
      </w:r>
      <w:proofErr w:type="spellEnd"/>
      <w:r>
        <w:rPr>
          <w:rStyle w:val="webofficeattributevalue"/>
          <w:rFonts w:ascii="Times New Roman" w:hAnsi="Times New Roman"/>
          <w:sz w:val="24"/>
          <w:szCs w:val="24"/>
        </w:rPr>
        <w:t xml:space="preserve"> В.Л., Романовская Л.А., Непомнящий Ю.В., Петухов К.Ю., Сергеева О.А., </w:t>
      </w:r>
      <w:proofErr w:type="spellStart"/>
      <w:r>
        <w:rPr>
          <w:rStyle w:val="webofficeattributevalue"/>
          <w:rFonts w:ascii="Times New Roman" w:hAnsi="Times New Roman"/>
          <w:sz w:val="24"/>
          <w:szCs w:val="24"/>
        </w:rPr>
        <w:t>Шатохина</w:t>
      </w:r>
      <w:proofErr w:type="spellEnd"/>
      <w:r>
        <w:rPr>
          <w:rStyle w:val="webofficeattributevalue"/>
          <w:rFonts w:ascii="Times New Roman" w:hAnsi="Times New Roman"/>
          <w:sz w:val="24"/>
          <w:szCs w:val="24"/>
        </w:rPr>
        <w:t xml:space="preserve"> О.В., Акимов Л.Ю.</w:t>
      </w:r>
    </w:p>
    <w:sectPr>
      <w:headerReference w:type="default" r:id="rId30"/>
      <w:pgSz w:w="11907" w:h="16840"/>
      <w:pgMar w:top="1134" w:right="709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  <w:endnote w:type="continuationNotice" w:id="1">
    <w:p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type="continuationNotice" w:id="1">
    <w:p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3086371"/>
      <w:docPartObj>
        <w:docPartGallery w:val="Page Numbers (Top of Page)"/>
        <w:docPartUnique/>
      </w:docPartObj>
    </w:sdtPr>
    <w:sdtContent>
      <w:p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D2525"/>
    <w:multiLevelType w:val="multilevel"/>
    <w:tmpl w:val="4588F8D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B20560C"/>
    <w:multiLevelType w:val="hybridMultilevel"/>
    <w:tmpl w:val="1CA40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445AC"/>
    <w:multiLevelType w:val="multilevel"/>
    <w:tmpl w:val="37EEF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D178B6"/>
    <w:multiLevelType w:val="multilevel"/>
    <w:tmpl w:val="4588F8DA"/>
    <w:lvl w:ilvl="0">
      <w:start w:val="1"/>
      <w:numFmt w:val="decimal"/>
      <w:lvlText w:val="%1."/>
      <w:lvlJc w:val="left"/>
      <w:pPr>
        <w:ind w:left="574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8711938"/>
    <w:multiLevelType w:val="multilevel"/>
    <w:tmpl w:val="4588F8DA"/>
    <w:lvl w:ilvl="0">
      <w:start w:val="1"/>
      <w:numFmt w:val="decimal"/>
      <w:lvlText w:val="%1."/>
      <w:lvlJc w:val="left"/>
      <w:pPr>
        <w:ind w:left="574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E5E67CA"/>
    <w:multiLevelType w:val="hybridMultilevel"/>
    <w:tmpl w:val="F390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62E3D"/>
    <w:multiLevelType w:val="hybridMultilevel"/>
    <w:tmpl w:val="1CA40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F1E86"/>
    <w:multiLevelType w:val="hybridMultilevel"/>
    <w:tmpl w:val="478886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CD229B"/>
    <w:multiLevelType w:val="hybridMultilevel"/>
    <w:tmpl w:val="4114097C"/>
    <w:lvl w:ilvl="0" w:tplc="FDA2F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C02DB"/>
    <w:multiLevelType w:val="hybridMultilevel"/>
    <w:tmpl w:val="3AAA0408"/>
    <w:lvl w:ilvl="0" w:tplc="D2B4C648">
      <w:start w:val="1"/>
      <w:numFmt w:val="decimal"/>
      <w:lvlText w:val="%1.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C744B15"/>
    <w:multiLevelType w:val="hybridMultilevel"/>
    <w:tmpl w:val="767C0AA4"/>
    <w:lvl w:ilvl="0" w:tplc="7BE437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CE36D1C"/>
    <w:multiLevelType w:val="hybridMultilevel"/>
    <w:tmpl w:val="29841F18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2" w15:restartNumberingAfterBreak="0">
    <w:nsid w:val="4FA53DA2"/>
    <w:multiLevelType w:val="multilevel"/>
    <w:tmpl w:val="C3A8968E"/>
    <w:lvl w:ilvl="0">
      <w:start w:val="1"/>
      <w:numFmt w:val="decimal"/>
      <w:lvlText w:val="%1."/>
      <w:lvlJc w:val="left"/>
      <w:pPr>
        <w:ind w:left="96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3" w15:restartNumberingAfterBreak="0">
    <w:nsid w:val="53286FEC"/>
    <w:multiLevelType w:val="multilevel"/>
    <w:tmpl w:val="1456A1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C307189"/>
    <w:multiLevelType w:val="hybridMultilevel"/>
    <w:tmpl w:val="DBB66262"/>
    <w:lvl w:ilvl="0" w:tplc="7BE437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04507E9"/>
    <w:multiLevelType w:val="hybridMultilevel"/>
    <w:tmpl w:val="4114097C"/>
    <w:lvl w:ilvl="0" w:tplc="FDA2F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AB3082"/>
    <w:multiLevelType w:val="multilevel"/>
    <w:tmpl w:val="6EF29412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621C13B9"/>
    <w:multiLevelType w:val="multilevel"/>
    <w:tmpl w:val="BB88C1B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8D45A78"/>
    <w:multiLevelType w:val="hybridMultilevel"/>
    <w:tmpl w:val="EE5A75A4"/>
    <w:lvl w:ilvl="0" w:tplc="67AED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862CA"/>
    <w:multiLevelType w:val="hybridMultilevel"/>
    <w:tmpl w:val="65C82B4C"/>
    <w:lvl w:ilvl="0" w:tplc="3518348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FBC601C"/>
    <w:multiLevelType w:val="multilevel"/>
    <w:tmpl w:val="C46A9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9"/>
  </w:num>
  <w:num w:numId="6">
    <w:abstractNumId w:val="7"/>
  </w:num>
  <w:num w:numId="7">
    <w:abstractNumId w:val="16"/>
  </w:num>
  <w:num w:numId="8">
    <w:abstractNumId w:val="0"/>
  </w:num>
  <w:num w:numId="9">
    <w:abstractNumId w:val="17"/>
  </w:num>
  <w:num w:numId="10">
    <w:abstractNumId w:val="13"/>
  </w:num>
  <w:num w:numId="11">
    <w:abstractNumId w:val="20"/>
  </w:num>
  <w:num w:numId="12">
    <w:abstractNumId w:val="2"/>
  </w:num>
  <w:num w:numId="13">
    <w:abstractNumId w:val="11"/>
  </w:num>
  <w:num w:numId="14">
    <w:abstractNumId w:val="4"/>
  </w:num>
  <w:num w:numId="15">
    <w:abstractNumId w:val="10"/>
  </w:num>
  <w:num w:numId="16">
    <w:abstractNumId w:val="5"/>
  </w:num>
  <w:num w:numId="17">
    <w:abstractNumId w:val="6"/>
  </w:num>
  <w:num w:numId="18">
    <w:abstractNumId w:val="1"/>
  </w:num>
  <w:num w:numId="19">
    <w:abstractNumId w:val="15"/>
  </w:num>
  <w:num w:numId="20">
    <w:abstractNumId w:val="8"/>
  </w:num>
  <w:num w:numId="21">
    <w:abstractNumId w:val="1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trackedChange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EC132D-9BC1-41E8-AAE9-A8C10E20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Pr>
      <w:rFonts w:ascii="Calibri" w:eastAsia="Calibri" w:hAnsi="Calibri" w:cs="Times New Roman"/>
    </w:rPr>
  </w:style>
  <w:style w:type="paragraph" w:styleId="af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ebofficeattributevalue1">
    <w:name w:val="webofficeattributevalue1"/>
    <w:basedOn w:val="a0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paragraph" w:styleId="af0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Pr>
      <w:color w:val="0000FF"/>
      <w:u w:val="single"/>
    </w:rPr>
  </w:style>
  <w:style w:type="paragraph" w:styleId="2">
    <w:name w:val="Body Text Indent 2"/>
    <w:basedOn w:val="a"/>
    <w:link w:val="20"/>
    <w:pPr>
      <w:spacing w:after="0" w:line="336" w:lineRule="auto"/>
      <w:ind w:firstLine="709"/>
      <w:jc w:val="both"/>
    </w:pPr>
    <w:rPr>
      <w:rFonts w:ascii="Times New Roman" w:eastAsia="SimSun" w:hAnsi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Pr>
      <w:rFonts w:ascii="Times New Roman" w:eastAsia="SimSu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ebofficeattributevalue">
    <w:name w:val="webofficeattributevalu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4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webSettings" Target="webSettings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styles" Target="styles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numbering" Target="numbering.xml"/><Relationship Id="rId28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footnotes" Target="footnotes.xm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55FF6-2244-4AD4-A319-168AB9E16D2B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DFFD10D8-C58D-481E-BD44-5D260972E7E6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6E2A7CD-B0AD-47C1-B5B3-331F0AAB1DCE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E252720A-65DB-4F90-96B2-71D0EC8528FD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E2036510-9AF0-43E7-8E63-642ADFF94A22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48147EEC-6941-4849-A6FE-A57FEC6936A1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17DC5D75-EA21-4A7B-B606-3277B51B87D4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9D2C3D80-1102-4059-93A8-B3F06A2736AE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373B9765-A039-4D4E-9DD7-0BE861152AC0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0B4628F3-D533-43D6-A771-C6D4197CF8D0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0E6AB783-FD17-4F3E-BCB2-C00F2E61FD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D9A462-6F67-445D-B6AC-4A0504EBCD8B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BFC4A092-A548-46B1-AAA7-A4CD06E188E6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180EAF90-F168-4962-9910-7FCAF5F930EE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9D446CD3-625D-4897-ACBD-27DA56F1D5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9D4CF8-A94E-4321-A844-83F2A457E4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16AC6A-8EA2-47F1-973E-F32571DC5FC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1BA83B-75E3-462C-B242-31A61A973A5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DFD9CC8-8E86-433C-B018-E973D22EE29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96AF5DF-6DAF-459D-B96F-A6FF2DCAE45E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FC3D6EE-7B16-47EA-9215-2241776C520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49F7B899-80A7-4793-98AB-7AD563251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Алфутин П.Е.</dc:creator>
  <cp:lastModifiedBy>Пунина Вера Сергеевна</cp:lastModifiedBy>
  <cp:revision>2</cp:revision>
  <cp:lastPrinted>2018-02-14T10:33:00Z</cp:lastPrinted>
  <dcterms:created xsi:type="dcterms:W3CDTF">2018-04-09T08:59:00Z</dcterms:created>
  <dcterms:modified xsi:type="dcterms:W3CDTF">2018-04-09T08:59:00Z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OwnerUserId">
    <vt:lpwstr>IvanovSVI</vt:lpwstr>
  </property>
  <property fmtid="{D5CDD505-2E9C-101B-9397-08002B2CF9AE}" pid="3" name="CustomObjectId">
    <vt:lpwstr>0900005a85210e26</vt:lpwstr>
  </property>
  <property fmtid="{D5CDD505-2E9C-101B-9397-08002B2CF9AE}" pid="4" name="CustomServerURL">
    <vt:lpwstr>http://asud.rosseti.ru/asud_hmrsk/doc-upload</vt:lpwstr>
  </property>
  <property fmtid="{D5CDD505-2E9C-101B-9397-08002B2CF9AE}" pid="5" name="CustomUserId">
    <vt:lpwstr>IvanovSVI</vt:lpwstr>
  </property>
  <property fmtid="{D5CDD505-2E9C-101B-9397-08002B2CF9AE}" pid="6" name="CustomObjectState">
    <vt:lpwstr>180939569</vt:lpwstr>
  </property>
  <property fmtid="{D5CDD505-2E9C-101B-9397-08002B2CF9AE}" pid="7" name="localFileProperties">
    <vt:lpwstr>50:46:5D:72:F0:75</vt:lpwstr>
  </property>
</Properties>
</file>