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2D2" w:rsidRPr="00AA22D2" w:rsidRDefault="00AA22D2" w:rsidP="00AA22D2">
      <w:pPr>
        <w:shd w:val="clear" w:color="auto" w:fill="FFFFFF"/>
        <w:spacing w:after="167" w:line="267" w:lineRule="atLeast"/>
        <w:outlineLvl w:val="0"/>
        <w:rPr>
          <w:rFonts w:ascii="Arial" w:eastAsia="Times New Roman" w:hAnsi="Arial" w:cs="Arial"/>
          <w:color w:val="000000"/>
          <w:kern w:val="36"/>
          <w:sz w:val="32"/>
          <w:szCs w:val="32"/>
          <w:lang w:eastAsia="ru-RU"/>
        </w:rPr>
      </w:pPr>
      <w:r w:rsidRPr="00AA22D2">
        <w:rPr>
          <w:rFonts w:ascii="Arial" w:eastAsia="Times New Roman" w:hAnsi="Arial" w:cs="Arial"/>
          <w:color w:val="000000"/>
          <w:kern w:val="36"/>
          <w:sz w:val="32"/>
          <w:szCs w:val="32"/>
          <w:lang w:eastAsia="ru-RU"/>
        </w:rPr>
        <w:t>Конкурс (тендер) № 47975 </w:t>
      </w:r>
      <w:r w:rsidRPr="00AA22D2">
        <w:rPr>
          <w:rFonts w:ascii="Arial" w:eastAsia="Times New Roman" w:hAnsi="Arial" w:cs="Arial"/>
          <w:color w:val="A0A0A0"/>
          <w:kern w:val="36"/>
          <w:sz w:val="24"/>
          <w:szCs w:val="24"/>
          <w:lang w:eastAsia="ru-RU"/>
        </w:rPr>
        <w:t>(вскрытие конвертов 24.02.2016 в 08:00)</w:t>
      </w:r>
    </w:p>
    <w:p w:rsidR="00AA22D2" w:rsidRPr="00AA22D2" w:rsidRDefault="00AA22D2" w:rsidP="00AA22D2">
      <w:pPr>
        <w:numPr>
          <w:ilvl w:val="0"/>
          <w:numId w:val="1"/>
        </w:numPr>
        <w:pBdr>
          <w:bottom w:val="single" w:sz="12" w:space="4" w:color="000000"/>
        </w:pBdr>
        <w:shd w:val="clear" w:color="auto" w:fill="FFFFFF"/>
        <w:spacing w:before="100" w:beforeAutospacing="1" w:after="100" w:afterAutospacing="1" w:line="300" w:lineRule="atLeast"/>
        <w:ind w:left="-171"/>
        <w:rPr>
          <w:rFonts w:ascii="Arial" w:eastAsia="Times New Roman" w:hAnsi="Arial" w:cs="Arial"/>
          <w:color w:val="000000"/>
          <w:sz w:val="21"/>
          <w:szCs w:val="21"/>
          <w:lang w:eastAsia="ru-RU"/>
        </w:rPr>
      </w:pPr>
      <w:r w:rsidRPr="00AA22D2">
        <w:rPr>
          <w:rFonts w:ascii="Arial" w:eastAsia="Times New Roman" w:hAnsi="Arial" w:cs="Arial"/>
          <w:color w:val="000000"/>
          <w:sz w:val="21"/>
          <w:szCs w:val="21"/>
          <w:lang w:eastAsia="ru-RU"/>
        </w:rPr>
        <w:t>Извещение</w:t>
      </w:r>
    </w:p>
    <w:p w:rsidR="00AA22D2" w:rsidRPr="00AA22D2" w:rsidRDefault="00AA22D2" w:rsidP="00AA22D2">
      <w:pPr>
        <w:numPr>
          <w:ilvl w:val="0"/>
          <w:numId w:val="1"/>
        </w:numPr>
        <w:pBdr>
          <w:bottom w:val="single" w:sz="12" w:space="4" w:color="F2F0EB"/>
        </w:pBdr>
        <w:shd w:val="clear" w:color="auto" w:fill="FFFFFF"/>
        <w:spacing w:after="100" w:afterAutospacing="1" w:line="300" w:lineRule="atLeast"/>
        <w:ind w:left="-171"/>
        <w:rPr>
          <w:rFonts w:ascii="Arial" w:eastAsia="Times New Roman" w:hAnsi="Arial" w:cs="Arial"/>
          <w:color w:val="000000"/>
          <w:sz w:val="21"/>
          <w:szCs w:val="21"/>
          <w:lang w:eastAsia="ru-RU"/>
        </w:rPr>
      </w:pPr>
      <w:hyperlink r:id="rId5" w:history="1">
        <w:r w:rsidRPr="00AA22D2">
          <w:rPr>
            <w:rFonts w:ascii="Arial" w:eastAsia="Times New Roman" w:hAnsi="Arial" w:cs="Arial"/>
            <w:color w:val="2283C3"/>
            <w:sz w:val="21"/>
            <w:szCs w:val="21"/>
            <w:u w:val="single"/>
            <w:lang w:eastAsia="ru-RU"/>
          </w:rPr>
          <w:t>Лоты - 1</w:t>
        </w:r>
      </w:hyperlink>
    </w:p>
    <w:p w:rsidR="00AA22D2" w:rsidRPr="00AA22D2" w:rsidRDefault="00AA22D2" w:rsidP="00AA22D2">
      <w:pPr>
        <w:numPr>
          <w:ilvl w:val="0"/>
          <w:numId w:val="1"/>
        </w:numPr>
        <w:pBdr>
          <w:bottom w:val="single" w:sz="12" w:space="4" w:color="F2F0EB"/>
        </w:pBdr>
        <w:shd w:val="clear" w:color="auto" w:fill="FFFFFF"/>
        <w:spacing w:after="100" w:afterAutospacing="1" w:line="300" w:lineRule="atLeast"/>
        <w:ind w:left="-171"/>
        <w:rPr>
          <w:rFonts w:ascii="Arial" w:eastAsia="Times New Roman" w:hAnsi="Arial" w:cs="Arial"/>
          <w:color w:val="000000"/>
          <w:sz w:val="21"/>
          <w:szCs w:val="21"/>
          <w:lang w:eastAsia="ru-RU"/>
        </w:rPr>
      </w:pPr>
      <w:hyperlink r:id="rId6" w:history="1">
        <w:r w:rsidRPr="00AA22D2">
          <w:rPr>
            <w:rFonts w:ascii="Arial" w:eastAsia="Times New Roman" w:hAnsi="Arial" w:cs="Arial"/>
            <w:color w:val="2283C3"/>
            <w:sz w:val="21"/>
            <w:szCs w:val="21"/>
            <w:u w:val="single"/>
            <w:lang w:eastAsia="ru-RU"/>
          </w:rPr>
          <w:t>Разъяснения - 3</w:t>
        </w:r>
      </w:hyperlink>
    </w:p>
    <w:p w:rsidR="00AA22D2" w:rsidRPr="00AA22D2" w:rsidRDefault="00AA22D2" w:rsidP="00AA22D2">
      <w:pPr>
        <w:numPr>
          <w:ilvl w:val="0"/>
          <w:numId w:val="1"/>
        </w:numPr>
        <w:pBdr>
          <w:bottom w:val="single" w:sz="12" w:space="4" w:color="F2F0EB"/>
        </w:pBdr>
        <w:shd w:val="clear" w:color="auto" w:fill="FFFFFF"/>
        <w:spacing w:after="100" w:afterAutospacing="1" w:line="300" w:lineRule="atLeast"/>
        <w:ind w:left="-171"/>
        <w:rPr>
          <w:rFonts w:ascii="Arial" w:eastAsia="Times New Roman" w:hAnsi="Arial" w:cs="Arial"/>
          <w:color w:val="000000"/>
          <w:sz w:val="21"/>
          <w:szCs w:val="21"/>
          <w:lang w:eastAsia="ru-RU"/>
        </w:rPr>
      </w:pPr>
      <w:hyperlink r:id="rId7" w:history="1">
        <w:r w:rsidRPr="00AA22D2">
          <w:rPr>
            <w:rFonts w:ascii="Arial" w:eastAsia="Times New Roman" w:hAnsi="Arial" w:cs="Arial"/>
            <w:color w:val="2283C3"/>
            <w:sz w:val="21"/>
            <w:szCs w:val="21"/>
            <w:u w:val="single"/>
            <w:lang w:eastAsia="ru-RU"/>
          </w:rPr>
          <w:t>Претенденты - 3</w:t>
        </w:r>
      </w:hyperlink>
    </w:p>
    <w:p w:rsidR="00AA22D2" w:rsidRPr="00AA22D2" w:rsidRDefault="00AA22D2" w:rsidP="00AA22D2">
      <w:pPr>
        <w:numPr>
          <w:ilvl w:val="0"/>
          <w:numId w:val="1"/>
        </w:numPr>
        <w:pBdr>
          <w:bottom w:val="single" w:sz="12" w:space="4" w:color="F2F0EB"/>
        </w:pBdr>
        <w:shd w:val="clear" w:color="auto" w:fill="FFFFFF"/>
        <w:spacing w:after="100" w:afterAutospacing="1" w:line="300" w:lineRule="atLeast"/>
        <w:ind w:left="-171"/>
        <w:rPr>
          <w:rFonts w:ascii="Arial" w:eastAsia="Times New Roman" w:hAnsi="Arial" w:cs="Arial"/>
          <w:color w:val="000000"/>
          <w:sz w:val="21"/>
          <w:szCs w:val="21"/>
          <w:lang w:eastAsia="ru-RU"/>
        </w:rPr>
      </w:pPr>
      <w:hyperlink r:id="rId8" w:history="1">
        <w:r w:rsidRPr="00AA22D2">
          <w:rPr>
            <w:rFonts w:ascii="Arial" w:eastAsia="Times New Roman" w:hAnsi="Arial" w:cs="Arial"/>
            <w:color w:val="2283C3"/>
            <w:sz w:val="21"/>
            <w:szCs w:val="21"/>
            <w:u w:val="single"/>
            <w:lang w:eastAsia="ru-RU"/>
          </w:rPr>
          <w:t>История изменений</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A22D2" w:rsidRPr="00AA22D2" w:rsidTr="00AA22D2">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A22D2" w:rsidRPr="00AA22D2">
              <w:trPr>
                <w:tblCellSpacing w:w="7" w:type="dxa"/>
              </w:trPr>
              <w:tc>
                <w:tcPr>
                  <w:tcW w:w="0" w:type="auto"/>
                  <w:shd w:val="clear" w:color="auto" w:fill="C7CCD3"/>
                  <w:tcMar>
                    <w:top w:w="75" w:type="dxa"/>
                    <w:left w:w="75" w:type="dxa"/>
                    <w:bottom w:w="75" w:type="dxa"/>
                    <w:right w:w="75" w:type="dxa"/>
                  </w:tcMar>
                  <w:hideMark/>
                </w:tcPr>
                <w:p w:rsidR="00AA22D2" w:rsidRPr="00AA22D2" w:rsidRDefault="00AA22D2" w:rsidP="00AA22D2">
                  <w:pPr>
                    <w:shd w:val="clear" w:color="auto" w:fill="C7CCD3"/>
                    <w:spacing w:after="0" w:line="252" w:lineRule="atLeast"/>
                    <w:outlineLvl w:val="1"/>
                    <w:rPr>
                      <w:rFonts w:ascii="Arial" w:eastAsia="Times New Roman" w:hAnsi="Arial" w:cs="Arial"/>
                      <w:color w:val="333333"/>
                      <w:sz w:val="21"/>
                      <w:szCs w:val="21"/>
                      <w:lang w:eastAsia="ru-RU"/>
                    </w:rPr>
                  </w:pPr>
                  <w:hyperlink r:id="rId9" w:history="1">
                    <w:r w:rsidRPr="00AA22D2">
                      <w:rPr>
                        <w:rFonts w:ascii="Arial" w:eastAsia="Times New Roman" w:hAnsi="Arial" w:cs="Arial"/>
                        <w:b/>
                        <w:bCs/>
                        <w:color w:val="5C2D91"/>
                        <w:sz w:val="21"/>
                        <w:szCs w:val="21"/>
                        <w:u w:val="single"/>
                        <w:bdr w:val="none" w:sz="0" w:space="0" w:color="auto" w:frame="1"/>
                        <w:lang w:eastAsia="ru-RU"/>
                      </w:rPr>
                      <w:t>Филиал акционерного общества энергетики и электрификации "Тюменьэнерго" Нижневартовские электрические сети</w:t>
                    </w:r>
                  </w:hyperlink>
                  <w:r w:rsidRPr="00AA22D2">
                    <w:rPr>
                      <w:rFonts w:ascii="Arial" w:eastAsia="Times New Roman" w:hAnsi="Arial" w:cs="Arial"/>
                      <w:color w:val="333333"/>
                      <w:sz w:val="21"/>
                      <w:szCs w:val="21"/>
                      <w:lang w:eastAsia="ru-RU"/>
                    </w:rPr>
                    <w:t>, 628617, Ханты-Мансийский Автономный округ - Югра, Тюменская область, г. Нижневартовск, ул. Пермская, 22, </w:t>
                  </w:r>
                  <w:r w:rsidRPr="00AA22D2">
                    <w:rPr>
                      <w:rFonts w:ascii="Arial" w:eastAsia="Times New Roman" w:hAnsi="Arial" w:cs="Arial"/>
                      <w:b/>
                      <w:bCs/>
                      <w:color w:val="333333"/>
                      <w:sz w:val="21"/>
                      <w:szCs w:val="21"/>
                      <w:lang w:eastAsia="ru-RU"/>
                    </w:rPr>
                    <w:t>приглашает принять участие в процедуре (тендере)</w:t>
                  </w:r>
                  <w:r w:rsidRPr="00AA22D2">
                    <w:rPr>
                      <w:rFonts w:ascii="Arial" w:eastAsia="Times New Roman" w:hAnsi="Arial" w:cs="Arial"/>
                      <w:color w:val="333333"/>
                      <w:sz w:val="21"/>
                      <w:szCs w:val="21"/>
                      <w:lang w:eastAsia="ru-RU"/>
                    </w:rPr>
                    <w:t>.</w:t>
                  </w:r>
                </w:p>
              </w:tc>
            </w:tr>
            <w:tr w:rsidR="00AA22D2" w:rsidRPr="00AA22D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096"/>
                    <w:gridCol w:w="6231"/>
                  </w:tblGrid>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Предмет конкурса (тендера):</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Открытый одноэтапный конкурс без предварительного отбора на право заключения Договора на выполнение работ по реконструкции ПС 110 кВ ГПП-7 в части установки ИТСО для нужд филиала АО «Тюменьэнерго» Нижневартовские электрические сети</w:t>
                        </w:r>
                        <w:r w:rsidRPr="00AA22D2">
                          <w:rPr>
                            <w:rFonts w:ascii="Arial" w:eastAsia="Times New Roman" w:hAnsi="Arial" w:cs="Arial"/>
                            <w:sz w:val="24"/>
                            <w:szCs w:val="24"/>
                            <w:lang w:eastAsia="ru-RU"/>
                          </w:rPr>
                          <w:br/>
                        </w:r>
                        <w:r w:rsidRPr="00AA22D2">
                          <w:rPr>
                            <w:rFonts w:ascii="Arial" w:eastAsia="Times New Roman" w:hAnsi="Arial" w:cs="Arial"/>
                            <w:b/>
                            <w:bCs/>
                            <w:sz w:val="24"/>
                            <w:szCs w:val="24"/>
                            <w:lang w:eastAsia="ru-RU"/>
                          </w:rPr>
                          <w:t>Лот № 1.</w:t>
                        </w:r>
                        <w:r w:rsidRPr="00AA22D2">
                          <w:rPr>
                            <w:rFonts w:ascii="Arial" w:eastAsia="Times New Roman" w:hAnsi="Arial" w:cs="Arial"/>
                            <w:sz w:val="24"/>
                            <w:szCs w:val="24"/>
                            <w:lang w:eastAsia="ru-RU"/>
                          </w:rPr>
                          <w:t> Выполнение работ по реконструкции ПС 110 кВ ГПП-7 в части установки ИТСО для нужд филиала АО «Тюменьэнерго» Нижневартовские электрические сети (АО)</w:t>
                        </w:r>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Категории классификатора:</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4521123 </w:t>
                        </w:r>
                        <w:hyperlink r:id="rId10" w:history="1">
                          <w:r w:rsidRPr="00AA22D2">
                            <w:rPr>
                              <w:rFonts w:ascii="Arial" w:eastAsia="Times New Roman" w:hAnsi="Arial" w:cs="Arial"/>
                              <w:color w:val="2283C3"/>
                              <w:sz w:val="24"/>
                              <w:szCs w:val="24"/>
                              <w:u w:val="single"/>
                              <w:bdr w:val="none" w:sz="0" w:space="0" w:color="auto" w:frame="1"/>
                              <w:lang w:eastAsia="ru-RU"/>
                            </w:rPr>
                            <w:t>Подстанция электрическая</w:t>
                          </w:r>
                        </w:hyperlink>
                      </w:p>
                    </w:tc>
                  </w:tr>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Дата публикации:</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15.01.2016 14:51</w:t>
                        </w:r>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Сроки поставки:</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b/>
                            <w:bCs/>
                            <w:sz w:val="24"/>
                            <w:szCs w:val="24"/>
                            <w:lang w:eastAsia="ru-RU"/>
                          </w:rPr>
                          <w:t>20.04.2016 - 14.10.2016</w:t>
                        </w:r>
                      </w:p>
                    </w:tc>
                  </w:tr>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Почтовый адрес заказчика:</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628617, Ханты-Мансийский Автономный округ - Югра, Тюменская область, г. Нижневартовск, ул. Пермская, 22</w:t>
                        </w:r>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Местонахождение заказчика:</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628617, Ханты-Мансийский Автономный округ - Югра, Тюменская область, г. Нижневартовск, ул. Пермская, 22</w:t>
                        </w:r>
                      </w:p>
                    </w:tc>
                  </w:tr>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Контактное лицо:</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hyperlink r:id="rId11" w:tgtFrame="_blank" w:tooltip="Отправить личное сообщение" w:history="1">
                          <w:r w:rsidRPr="00AA22D2">
                            <w:rPr>
                              <w:rFonts w:ascii="Arial" w:eastAsia="Times New Roman" w:hAnsi="Arial" w:cs="Arial"/>
                              <w:color w:val="2283C3"/>
                              <w:sz w:val="24"/>
                              <w:szCs w:val="24"/>
                              <w:u w:val="single"/>
                              <w:bdr w:val="none" w:sz="0" w:space="0" w:color="auto" w:frame="1"/>
                              <w:lang w:eastAsia="ru-RU"/>
                            </w:rPr>
                            <w:t>Черных Юлия Николаевна</w:t>
                          </w:r>
                        </w:hyperlink>
                        <w:r w:rsidRPr="00AA22D2">
                          <w:rPr>
                            <w:rFonts w:ascii="Arial" w:eastAsia="Times New Roman" w:hAnsi="Arial" w:cs="Arial"/>
                            <w:sz w:val="24"/>
                            <w:szCs w:val="24"/>
                            <w:lang w:eastAsia="ru-RU"/>
                          </w:rPr>
                          <w:t>, тел.+7 (3466) 48-42-83, </w:t>
                        </w:r>
                        <w:hyperlink r:id="rId12" w:history="1">
                          <w:r w:rsidRPr="00AA22D2">
                            <w:rPr>
                              <w:rFonts w:ascii="Arial" w:eastAsia="Times New Roman" w:hAnsi="Arial" w:cs="Arial"/>
                              <w:color w:val="2283C3"/>
                              <w:sz w:val="24"/>
                              <w:szCs w:val="24"/>
                              <w:u w:val="single"/>
                              <w:bdr w:val="none" w:sz="0" w:space="0" w:color="auto" w:frame="1"/>
                              <w:lang w:eastAsia="ru-RU"/>
                            </w:rPr>
                            <w:t>ChernyhYN@vartanet.ru</w:t>
                          </w:r>
                        </w:hyperlink>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Конкурсная комиссия:</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Назначена Приказом АО «Тюменьэнерго» № 306 от 16.07.2015 г.</w:t>
                        </w:r>
                      </w:p>
                    </w:tc>
                  </w:tr>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Требования к участникам:</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A22D2">
                          <w:rPr>
                            <w:rFonts w:ascii="Arial" w:eastAsia="Times New Roman" w:hAnsi="Arial" w:cs="Arial"/>
                            <w:sz w:val="24"/>
                            <w:szCs w:val="24"/>
                            <w:lang w:eastAsia="ru-RU"/>
                          </w:rPr>
                          <w:br/>
                          <w:t xml:space="preserve">-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w:t>
                        </w:r>
                        <w:r w:rsidRPr="00AA22D2">
                          <w:rPr>
                            <w:rFonts w:ascii="Arial" w:eastAsia="Times New Roman" w:hAnsi="Arial" w:cs="Arial"/>
                            <w:sz w:val="24"/>
                            <w:szCs w:val="24"/>
                            <w:lang w:eastAsia="ru-RU"/>
                          </w:rPr>
                          <w:lastRenderedPageBreak/>
                          <w:t>24.07.2007г. №209-ФЗ ;</w:t>
                        </w:r>
                        <w:r w:rsidRPr="00AA22D2">
                          <w:rPr>
                            <w:rFonts w:ascii="Arial" w:eastAsia="Times New Roman" w:hAnsi="Arial" w:cs="Arial"/>
                            <w:sz w:val="24"/>
                            <w:szCs w:val="24"/>
                            <w:lang w:eastAsia="ru-RU"/>
                          </w:rPr>
                          <w:br/>
                          <w:t>- Работы/услуги/поставки, выполняемые субподрядчиками/соисполнителями/ субпоставщиками не должны превышать 50% от общего объема работ ;</w:t>
                        </w:r>
                        <w:r w:rsidRPr="00AA22D2">
                          <w:rPr>
                            <w:rFonts w:ascii="Arial" w:eastAsia="Times New Roman" w:hAnsi="Arial" w:cs="Arial"/>
                            <w:sz w:val="24"/>
                            <w:szCs w:val="24"/>
                            <w:lang w:eastAsia="ru-RU"/>
                          </w:rPr>
                          <w:br/>
                          <w:t>- Участник должен обладать гражданской правоспособностью в полном объеме для заключения и исполнения Договора;</w:t>
                        </w:r>
                        <w:r w:rsidRPr="00AA22D2">
                          <w:rPr>
                            <w:rFonts w:ascii="Arial" w:eastAsia="Times New Roman" w:hAnsi="Arial" w:cs="Arial"/>
                            <w:sz w:val="24"/>
                            <w:szCs w:val="24"/>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AA22D2">
                          <w:rPr>
                            <w:rFonts w:ascii="Arial" w:eastAsia="Times New Roman" w:hAnsi="Arial" w:cs="Arial"/>
                            <w:sz w:val="24"/>
                            <w:szCs w:val="24"/>
                            <w:lang w:eastAsia="ru-RU"/>
                          </w:rPr>
                          <w:br/>
                          <w:t>-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AA22D2">
                          <w:rPr>
                            <w:rFonts w:ascii="Arial" w:eastAsia="Times New Roman" w:hAnsi="Arial" w:cs="Arial"/>
                            <w:sz w:val="24"/>
                            <w:szCs w:val="24"/>
                            <w:lang w:eastAsia="ru-RU"/>
                          </w:rPr>
                          <w:br/>
                          <w:t>* 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r w:rsidRPr="00AA22D2">
                          <w:rPr>
                            <w:rFonts w:ascii="Arial" w:eastAsia="Times New Roman" w:hAnsi="Arial" w:cs="Arial"/>
                            <w:sz w:val="24"/>
                            <w:szCs w:val="24"/>
                            <w:lang w:eastAsia="ru-RU"/>
                          </w:rPr>
                          <w:br/>
                        </w:r>
                        <w:r w:rsidRPr="00AA22D2">
                          <w:rPr>
                            <w:rFonts w:ascii="Arial" w:eastAsia="Times New Roman" w:hAnsi="Arial" w:cs="Arial"/>
                            <w:sz w:val="24"/>
                            <w:szCs w:val="24"/>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r w:rsidRPr="00AA22D2">
                          <w:rPr>
                            <w:rFonts w:ascii="Arial" w:eastAsia="Times New Roman" w:hAnsi="Arial" w:cs="Arial"/>
                            <w:sz w:val="24"/>
                            <w:szCs w:val="24"/>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AA22D2">
                          <w:rPr>
                            <w:rFonts w:ascii="Arial" w:eastAsia="Times New Roman" w:hAnsi="Arial" w:cs="Arial"/>
                            <w:sz w:val="24"/>
                            <w:szCs w:val="24"/>
                            <w:lang w:eastAsia="ru-RU"/>
                          </w:rPr>
                          <w:br/>
                          <w:t>- Участник должен обладать необходимыми кадровыми ресурсами: электромонтажники не менее 2 чел.; сварщик 3-6 разряда не менее 2 чел.; рабочие строительных специальностей 3-6 разряда не менее 3 чел.; специалисты ИТ не менее 2 чел. </w:t>
                        </w:r>
                        <w:r w:rsidRPr="00AA22D2">
                          <w:rPr>
                            <w:rFonts w:ascii="Arial" w:eastAsia="Times New Roman" w:hAnsi="Arial" w:cs="Arial"/>
                            <w:sz w:val="24"/>
                            <w:szCs w:val="24"/>
                            <w:lang w:eastAsia="ru-RU"/>
                          </w:rPr>
                          <w:br/>
                          <w:t>Для выполнения работ по Договору Участник должен отвечать следующим требованиям: </w:t>
                        </w:r>
                        <w:r w:rsidRPr="00AA22D2">
                          <w:rPr>
                            <w:rFonts w:ascii="Arial" w:eastAsia="Times New Roman" w:hAnsi="Arial" w:cs="Arial"/>
                            <w:sz w:val="24"/>
                            <w:szCs w:val="24"/>
                            <w:lang w:eastAsia="ru-RU"/>
                          </w:rPr>
                          <w:br/>
                          <w:t xml:space="preserve">- обладать необходимыми кадровыми ресурсами с численностью и квалификацией, достаточными для </w:t>
                        </w:r>
                        <w:r w:rsidRPr="00AA22D2">
                          <w:rPr>
                            <w:rFonts w:ascii="Arial" w:eastAsia="Times New Roman" w:hAnsi="Arial" w:cs="Arial"/>
                            <w:sz w:val="24"/>
                            <w:szCs w:val="24"/>
                            <w:lang w:eastAsia="ru-RU"/>
                          </w:rPr>
                          <w:lastRenderedPageBreak/>
                          <w:t>выполнения работ по Договору в установленные сроки и в соответствии с действующей нормативной документацией, с наличием допуска по электробезопасности не ниже 2 группы, прошедшими проверку знаний согласно «Межотраслевых правил по охране труда (правил безопасности) при эксплуатации электроустановок. ПОТР М-016-201 РД 153-34.0-03.150-00».</w:t>
                        </w:r>
                        <w:r w:rsidRPr="00AA22D2">
                          <w:rPr>
                            <w:rFonts w:ascii="Arial" w:eastAsia="Times New Roman" w:hAnsi="Arial" w:cs="Arial"/>
                            <w:sz w:val="24"/>
                            <w:szCs w:val="24"/>
                            <w:lang w:eastAsia="ru-RU"/>
                          </w:rPr>
                          <w:br/>
                        </w:r>
                        <w:r w:rsidRPr="00AA22D2">
                          <w:rPr>
                            <w:rFonts w:ascii="Arial" w:eastAsia="Times New Roman" w:hAnsi="Arial" w:cs="Arial"/>
                            <w:sz w:val="24"/>
                            <w:szCs w:val="24"/>
                            <w:lang w:eastAsia="ru-RU"/>
                          </w:rPr>
                          <w:br/>
                          <w:t>Кадровые ресурсы Участника, необходимые для выполнения работ по Договору, должны удовлетворять требованиям ст. 10 Федерального Закона от 21 июля 2011 года № 256-ФЗ "О безопасности объектов ТЭК": </w:t>
                        </w:r>
                        <w:r w:rsidRPr="00AA22D2">
                          <w:rPr>
                            <w:rFonts w:ascii="Arial" w:eastAsia="Times New Roman" w:hAnsi="Arial" w:cs="Arial"/>
                            <w:sz w:val="24"/>
                            <w:szCs w:val="24"/>
                            <w:lang w:eastAsia="ru-RU"/>
                          </w:rPr>
                          <w:br/>
                          <w:t>- отсутствие неснятой или непогашенной судимости за совершение умышленного преступления; </w:t>
                        </w:r>
                        <w:r w:rsidRPr="00AA22D2">
                          <w:rPr>
                            <w:rFonts w:ascii="Arial" w:eastAsia="Times New Roman" w:hAnsi="Arial" w:cs="Arial"/>
                            <w:sz w:val="24"/>
                            <w:szCs w:val="24"/>
                            <w:lang w:eastAsia="ru-RU"/>
                          </w:rPr>
                          <w:br/>
                          <w:t>- не состоящие на учете в учреждениях органов здравоохранения по поводу психического заболевания, алкоголизма или наркомании; </w:t>
                        </w:r>
                        <w:r w:rsidRPr="00AA22D2">
                          <w:rPr>
                            <w:rFonts w:ascii="Arial" w:eastAsia="Times New Roman" w:hAnsi="Arial" w:cs="Arial"/>
                            <w:sz w:val="24"/>
                            <w:szCs w:val="24"/>
                            <w:lang w:eastAsia="ru-RU"/>
                          </w:rPr>
                          <w:br/>
                          <w:t>- отсутствие факта увольнения по отрицательным мотивам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r w:rsidRPr="00AA22D2">
                          <w:rPr>
                            <w:rFonts w:ascii="Arial" w:eastAsia="Times New Roman" w:hAnsi="Arial" w:cs="Arial"/>
                            <w:sz w:val="24"/>
                            <w:szCs w:val="24"/>
                            <w:lang w:eastAsia="ru-RU"/>
                          </w:rPr>
                          <w:br/>
                          <w:t>- Участник должен обладать необходимыми основными машинами и механизмами: вахтовый автотранспорт не менее 1 ед., бурильно-сваебойная машина не менее 1 ед., автомобиль грузовой различного назначения г/п 3-10 тн. не менее 1 ед., сварочный агрегат не менее 2 ед., комплект инструмента и такелажа для демонтажа и монтажа оборудования;</w:t>
                        </w:r>
                        <w:r w:rsidRPr="00AA22D2">
                          <w:rPr>
                            <w:rFonts w:ascii="Arial" w:eastAsia="Times New Roman" w:hAnsi="Arial" w:cs="Arial"/>
                            <w:sz w:val="24"/>
                            <w:szCs w:val="24"/>
                            <w:lang w:eastAsia="ru-RU"/>
                          </w:rPr>
                          <w:br/>
                          <w:t>- Техническое и коммерческое предложения должны соответствовать требованиям Заказчика;</w:t>
                        </w:r>
                        <w:r w:rsidRPr="00AA22D2">
                          <w:rPr>
                            <w:rFonts w:ascii="Arial" w:eastAsia="Times New Roman" w:hAnsi="Arial" w:cs="Arial"/>
                            <w:sz w:val="24"/>
                            <w:szCs w:val="24"/>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AA22D2">
                          <w:rPr>
                            <w:rFonts w:ascii="Arial" w:eastAsia="Times New Roman" w:hAnsi="Arial" w:cs="Arial"/>
                            <w:sz w:val="24"/>
                            <w:szCs w:val="24"/>
                            <w:lang w:eastAsia="ru-RU"/>
                          </w:rPr>
                          <w:br/>
                        </w:r>
                        <w:r w:rsidRPr="00AA22D2">
                          <w:rPr>
                            <w:rFonts w:ascii="Arial" w:eastAsia="Times New Roman" w:hAnsi="Arial" w:cs="Arial"/>
                            <w:sz w:val="24"/>
                            <w:szCs w:val="24"/>
                            <w:lang w:eastAsia="ru-RU"/>
                          </w:rPr>
                          <w:br/>
                          <w:t>- Участник должен иметь устойчивое финансовое состояние.</w:t>
                        </w:r>
                        <w:r w:rsidRPr="00AA22D2">
                          <w:rPr>
                            <w:rFonts w:ascii="Arial" w:eastAsia="Times New Roman" w:hAnsi="Arial" w:cs="Arial"/>
                            <w:sz w:val="24"/>
                            <w:szCs w:val="24"/>
                            <w:lang w:eastAsia="ru-RU"/>
                          </w:rPr>
                          <w:br/>
                          <w:t xml:space="preserve">Показатель финансовой устойчивости стоимость </w:t>
                        </w:r>
                        <w:r w:rsidRPr="00AA22D2">
                          <w:rPr>
                            <w:rFonts w:ascii="Arial" w:eastAsia="Times New Roman" w:hAnsi="Arial" w:cs="Arial"/>
                            <w:sz w:val="24"/>
                            <w:szCs w:val="24"/>
                            <w:lang w:eastAsia="ru-RU"/>
                          </w:rPr>
                          <w:lastRenderedPageBreak/>
                          <w:t>чистых активов (СЧА) должен иметь значение &gt;0 </w:t>
                        </w:r>
                        <w:r w:rsidRPr="00AA22D2">
                          <w:rPr>
                            <w:rFonts w:ascii="Arial" w:eastAsia="Times New Roman" w:hAnsi="Arial" w:cs="Arial"/>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AA22D2">
                          <w:rPr>
                            <w:rFonts w:ascii="Arial" w:eastAsia="Times New Roman" w:hAnsi="Arial" w:cs="Arial"/>
                            <w:sz w:val="24"/>
                            <w:szCs w:val="24"/>
                            <w:lang w:eastAsia="ru-RU"/>
                          </w:rPr>
                          <w:br/>
                          <w:t>СЧА= стр.1600-стр.1400-стр.1500, </w:t>
                        </w:r>
                        <w:r w:rsidRPr="00AA22D2">
                          <w:rPr>
                            <w:rFonts w:ascii="Arial" w:eastAsia="Times New Roman" w:hAnsi="Arial" w:cs="Arial"/>
                            <w:sz w:val="24"/>
                            <w:szCs w:val="24"/>
                            <w:lang w:eastAsia="ru-RU"/>
                          </w:rPr>
                          <w:br/>
                          <w:t>при этом в расчет принимается стоимость фактически ликвидных активов (активы имеющие рыночную стоимость не ниже балансовой). </w:t>
                        </w:r>
                        <w:r w:rsidRPr="00AA22D2">
                          <w:rPr>
                            <w:rFonts w:ascii="Arial" w:eastAsia="Times New Roman" w:hAnsi="Arial" w:cs="Arial"/>
                            <w:sz w:val="24"/>
                            <w:szCs w:val="24"/>
                            <w:lang w:eastAsia="ru-RU"/>
                          </w:rPr>
                          <w:br/>
                        </w:r>
                        <w:r w:rsidRPr="00AA22D2">
                          <w:rPr>
                            <w:rFonts w:ascii="Arial" w:eastAsia="Times New Roman" w:hAnsi="Arial" w:cs="Arial"/>
                            <w:sz w:val="24"/>
                            <w:szCs w:val="24"/>
                            <w:lang w:eastAsia="ru-RU"/>
                          </w:rPr>
                          <w:br/>
                          <w:t>Показатель финансовой устойчивости коэффициент соизмеримости (КСВ) должен иметь значение ≥ 0,5</w:t>
                        </w:r>
                        <w:r w:rsidRPr="00AA22D2">
                          <w:rPr>
                            <w:rFonts w:ascii="Arial" w:eastAsia="Times New Roman" w:hAnsi="Arial" w:cs="Arial"/>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AA22D2">
                          <w:rPr>
                            <w:rFonts w:ascii="Arial" w:eastAsia="Times New Roman" w:hAnsi="Arial" w:cs="Arial"/>
                            <w:sz w:val="24"/>
                            <w:szCs w:val="24"/>
                            <w:lang w:eastAsia="ru-RU"/>
                          </w:rPr>
                          <w:br/>
                          <w:t>,</w:t>
                        </w:r>
                        <w:r w:rsidRPr="00AA22D2">
                          <w:rPr>
                            <w:rFonts w:ascii="Arial" w:eastAsia="Times New Roman" w:hAnsi="Arial" w:cs="Arial"/>
                            <w:sz w:val="24"/>
                            <w:szCs w:val="24"/>
                            <w:lang w:eastAsia="ru-RU"/>
                          </w:rPr>
                          <w:br/>
                          <w:t>где V – сумма показателей выручки за последний завершенный период (год) и за текущий год на отчетную дату;</w:t>
                        </w:r>
                        <w:r w:rsidRPr="00AA22D2">
                          <w:rPr>
                            <w:rFonts w:ascii="Arial" w:eastAsia="Times New Roman" w:hAnsi="Arial" w:cs="Arial"/>
                            <w:sz w:val="24"/>
                            <w:szCs w:val="24"/>
                            <w:lang w:eastAsia="ru-RU"/>
                          </w:rPr>
                          <w:br/>
                          <w:t>Р – период выполнения обязательств по договору (в месяцах),</w:t>
                        </w:r>
                        <w:r w:rsidRPr="00AA22D2">
                          <w:rPr>
                            <w:rFonts w:ascii="Arial" w:eastAsia="Times New Roman" w:hAnsi="Arial" w:cs="Arial"/>
                            <w:sz w:val="24"/>
                            <w:szCs w:val="24"/>
                            <w:lang w:eastAsia="ru-RU"/>
                          </w:rPr>
                          <w:br/>
                          <w:t>В – количество месяцев в периоде, в котором сформирован показатель V</w:t>
                        </w:r>
                        <w:r w:rsidRPr="00AA22D2">
                          <w:rPr>
                            <w:rFonts w:ascii="Arial" w:eastAsia="Times New Roman" w:hAnsi="Arial" w:cs="Arial"/>
                            <w:sz w:val="24"/>
                            <w:szCs w:val="24"/>
                            <w:lang w:eastAsia="ru-RU"/>
                          </w:rPr>
                          <w:br/>
                          <w:t>S – сумма договора (без НДС)</w:t>
                        </w:r>
                        <w:r w:rsidRPr="00AA22D2">
                          <w:rPr>
                            <w:rFonts w:ascii="Arial" w:eastAsia="Times New Roman" w:hAnsi="Arial" w:cs="Arial"/>
                            <w:sz w:val="24"/>
                            <w:szCs w:val="24"/>
                            <w:lang w:eastAsia="ru-RU"/>
                          </w:rPr>
                          <w:br/>
                        </w:r>
                        <w:r w:rsidRPr="00AA22D2">
                          <w:rPr>
                            <w:rFonts w:ascii="Arial" w:eastAsia="Times New Roman" w:hAnsi="Arial" w:cs="Arial"/>
                            <w:sz w:val="24"/>
                            <w:szCs w:val="24"/>
                            <w:lang w:eastAsia="ru-RU"/>
                          </w:rPr>
                          <w:br/>
                          <w:t>Подробная информация указана в Методике оценки финансовой устойчивости Участников закупки (приложение № 5 к Закупочной документации);</w:t>
                        </w:r>
                        <w:r w:rsidRPr="00AA22D2">
                          <w:rPr>
                            <w:rFonts w:ascii="Arial" w:eastAsia="Times New Roman" w:hAnsi="Arial" w:cs="Arial"/>
                            <w:sz w:val="24"/>
                            <w:szCs w:val="24"/>
                            <w:lang w:eastAsia="ru-RU"/>
                          </w:rPr>
                          <w:br/>
                          <w:t>- Участник должен предоставить 2 экземпляра подписанного соглашения об охране информации, составляющей коммерческую тайну в соответствии с формой 16 до ознакомления с проектами (Два экземпляра соглашения предоставляются на бумажном носителе).</w:t>
                        </w:r>
                        <w:r w:rsidRPr="00AA22D2">
                          <w:rPr>
                            <w:rFonts w:ascii="Arial" w:eastAsia="Times New Roman" w:hAnsi="Arial" w:cs="Arial"/>
                            <w:sz w:val="24"/>
                            <w:szCs w:val="24"/>
                            <w:lang w:eastAsia="ru-RU"/>
                          </w:rPr>
                          <w:br/>
                        </w:r>
                        <w:r w:rsidRPr="00AA22D2">
                          <w:rPr>
                            <w:rFonts w:ascii="Arial" w:eastAsia="Times New Roman" w:hAnsi="Arial" w:cs="Arial"/>
                            <w:sz w:val="24"/>
                            <w:szCs w:val="24"/>
                            <w:lang w:eastAsia="ru-RU"/>
                          </w:rPr>
                          <w:br/>
                          <w:t>- Требования к благонадежности Участника, членам коллективного Участника, субподрядчика (соисполнителя/субпоставщика)</w:t>
                        </w:r>
                        <w:r w:rsidRPr="00AA22D2">
                          <w:rPr>
                            <w:rFonts w:ascii="Arial" w:eastAsia="Times New Roman" w:hAnsi="Arial" w:cs="Arial"/>
                            <w:sz w:val="24"/>
                            <w:szCs w:val="24"/>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AA22D2">
                          <w:rPr>
                            <w:rFonts w:ascii="Arial" w:eastAsia="Times New Roman" w:hAnsi="Arial" w:cs="Arial"/>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A22D2">
                          <w:rPr>
                            <w:rFonts w:ascii="Arial" w:eastAsia="Times New Roman" w:hAnsi="Arial" w:cs="Arial"/>
                            <w:sz w:val="24"/>
                            <w:szCs w:val="24"/>
                            <w:lang w:eastAsia="ru-RU"/>
                          </w:rPr>
                          <w:br/>
                          <w:t>в) деятельность Участника должна быть безубыточной за последний завершенный год;</w:t>
                        </w:r>
                        <w:r w:rsidRPr="00AA22D2">
                          <w:rPr>
                            <w:rFonts w:ascii="Arial" w:eastAsia="Times New Roman" w:hAnsi="Arial" w:cs="Arial"/>
                            <w:sz w:val="24"/>
                            <w:szCs w:val="24"/>
                            <w:lang w:eastAsia="ru-RU"/>
                          </w:rPr>
                          <w:br/>
                          <w:t xml:space="preserve">г) экономическая деятельность Участника не должна </w:t>
                        </w:r>
                        <w:r w:rsidRPr="00AA22D2">
                          <w:rPr>
                            <w:rFonts w:ascii="Arial" w:eastAsia="Times New Roman" w:hAnsi="Arial" w:cs="Arial"/>
                            <w:sz w:val="24"/>
                            <w:szCs w:val="24"/>
                            <w:lang w:eastAsia="ru-RU"/>
                          </w:rPr>
                          <w:lastRenderedPageBreak/>
                          <w:t>быть приостановлена в административном порядке;</w:t>
                        </w:r>
                        <w:r w:rsidRPr="00AA22D2">
                          <w:rPr>
                            <w:rFonts w:ascii="Arial" w:eastAsia="Times New Roman" w:hAnsi="Arial" w:cs="Arial"/>
                            <w:sz w:val="24"/>
                            <w:szCs w:val="24"/>
                            <w:lang w:eastAsia="ru-RU"/>
                          </w:rPr>
                          <w:br/>
                          <w:t>д) Участник не должен иметь задолженность по уплате налогов;</w:t>
                        </w:r>
                        <w:r w:rsidRPr="00AA22D2">
                          <w:rPr>
                            <w:rFonts w:ascii="Arial" w:eastAsia="Times New Roman" w:hAnsi="Arial" w:cs="Arial"/>
                            <w:sz w:val="24"/>
                            <w:szCs w:val="24"/>
                            <w:lang w:eastAsia="ru-RU"/>
                          </w:rPr>
                          <w:br/>
                          <w:t>е) на имущество Участника не должен быть наложен арест;</w:t>
                        </w:r>
                        <w:r w:rsidRPr="00AA22D2">
                          <w:rPr>
                            <w:rFonts w:ascii="Arial" w:eastAsia="Times New Roman" w:hAnsi="Arial" w:cs="Arial"/>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AA22D2">
                          <w:rPr>
                            <w:rFonts w:ascii="Arial" w:eastAsia="Times New Roman" w:hAnsi="Arial" w:cs="Arial"/>
                            <w:sz w:val="24"/>
                            <w:szCs w:val="24"/>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AA22D2">
                          <w:rPr>
                            <w:rFonts w:ascii="Arial" w:eastAsia="Times New Roman" w:hAnsi="Arial" w:cs="Arial"/>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AA22D2">
                          <w:rPr>
                            <w:rFonts w:ascii="Arial" w:eastAsia="Times New Roman" w:hAnsi="Arial" w:cs="Arial"/>
                            <w:sz w:val="24"/>
                            <w:szCs w:val="24"/>
                            <w:lang w:eastAsia="ru-RU"/>
                          </w:rPr>
                          <w:br/>
                          <w:t>к) Участник не должен быть аффилирован к другим Участникам закупки;</w:t>
                        </w:r>
                        <w:r w:rsidRPr="00AA22D2">
                          <w:rPr>
                            <w:rFonts w:ascii="Arial" w:eastAsia="Times New Roman" w:hAnsi="Arial" w:cs="Arial"/>
                            <w:sz w:val="24"/>
                            <w:szCs w:val="24"/>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AA22D2">
                          <w:rPr>
                            <w:rFonts w:ascii="Arial" w:eastAsia="Times New Roman" w:hAnsi="Arial" w:cs="Arial"/>
                            <w:sz w:val="24"/>
                            <w:szCs w:val="24"/>
                            <w:lang w:eastAsia="ru-RU"/>
                          </w:rPr>
                          <w:br/>
                          <w:t>м) отсутствие сведений о предстоящем исключении контрагента из ЕГРЮЛ/ЕГРИП;</w:t>
                        </w:r>
                        <w:r w:rsidRPr="00AA22D2">
                          <w:rPr>
                            <w:rFonts w:ascii="Arial" w:eastAsia="Times New Roman" w:hAnsi="Arial" w:cs="Arial"/>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AA22D2">
                          <w:rPr>
                            <w:rFonts w:ascii="Arial" w:eastAsia="Times New Roman" w:hAnsi="Arial" w:cs="Arial"/>
                            <w:sz w:val="24"/>
                            <w:szCs w:val="24"/>
                            <w:lang w:eastAsia="ru-RU"/>
                          </w:rPr>
                          <w:br/>
                        </w:r>
                        <w:r w:rsidRPr="00AA22D2">
                          <w:rPr>
                            <w:rFonts w:ascii="Arial" w:eastAsia="Times New Roman" w:hAnsi="Arial" w:cs="Arial"/>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AA22D2">
                          <w:rPr>
                            <w:rFonts w:ascii="Arial" w:eastAsia="Times New Roman" w:hAnsi="Arial" w:cs="Arial"/>
                            <w:sz w:val="24"/>
                            <w:szCs w:val="24"/>
                            <w:lang w:eastAsia="ru-RU"/>
                          </w:rPr>
                          <w:br/>
                          <w:t xml:space="preserve">- Отсутствие за последние 3 (три) года, </w:t>
                        </w:r>
                        <w:r w:rsidRPr="00AA22D2">
                          <w:rPr>
                            <w:rFonts w:ascii="Arial" w:eastAsia="Times New Roman" w:hAnsi="Arial" w:cs="Arial"/>
                            <w:sz w:val="24"/>
                            <w:szCs w:val="24"/>
                            <w:lang w:eastAsia="ru-RU"/>
                          </w:rPr>
                          <w:lastRenderedPageBreak/>
                          <w:t>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"Тюменьэнерго"договора (ов)</w:t>
                        </w:r>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lastRenderedPageBreak/>
                          <w:t>Комплект конкурсной документации:</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Конкурсная документация:</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hyperlink r:id="rId13" w:tgtFrame="_blank" w:history="1">
                          <w:r w:rsidRPr="00AA22D2">
                            <w:rPr>
                              <w:rFonts w:ascii="Arial" w:eastAsia="Times New Roman" w:hAnsi="Arial" w:cs="Arial"/>
                              <w:color w:val="2283C3"/>
                              <w:sz w:val="24"/>
                              <w:szCs w:val="24"/>
                              <w:u w:val="single"/>
                              <w:bdr w:val="none" w:sz="0" w:space="0" w:color="auto" w:frame="1"/>
                              <w:lang w:eastAsia="ru-RU"/>
                            </w:rPr>
                            <w:t>Скачать файл</w:t>
                          </w:r>
                          <w:r w:rsidRPr="00AA22D2">
                            <w:rPr>
                              <w:rFonts w:ascii="Arial" w:eastAsia="Times New Roman" w:hAnsi="Arial" w:cs="Arial"/>
                              <w:color w:val="2283C3"/>
                              <w:sz w:val="24"/>
                              <w:szCs w:val="24"/>
                              <w:bdr w:val="none" w:sz="0" w:space="0" w:color="auto" w:frame="1"/>
                              <w:lang w:eastAsia="ru-RU"/>
                            </w:rPr>
                            <w:t> </w:t>
                          </w:r>
                          <w:r w:rsidRPr="00AA22D2">
                            <w:rPr>
                              <w:rFonts w:ascii="Arial" w:eastAsia="Times New Roman" w:hAnsi="Arial" w:cs="Arial"/>
                              <w:b/>
                              <w:bCs/>
                              <w:color w:val="2283C3"/>
                              <w:sz w:val="24"/>
                              <w:szCs w:val="24"/>
                              <w:u w:val="single"/>
                              <w:bdr w:val="none" w:sz="0" w:space="0" w:color="auto" w:frame="1"/>
                              <w:lang w:eastAsia="ru-RU"/>
                            </w:rPr>
                            <w:t>Изменения.pdf</w:t>
                          </w:r>
                        </w:hyperlink>
                        <w:r w:rsidRPr="00AA22D2">
                          <w:rPr>
                            <w:rFonts w:ascii="Arial" w:eastAsia="Times New Roman" w:hAnsi="Arial" w:cs="Arial"/>
                            <w:sz w:val="24"/>
                            <w:szCs w:val="24"/>
                            <w:lang w:eastAsia="ru-RU"/>
                          </w:rPr>
                          <w:t> (54 КБ)</w:t>
                        </w:r>
                      </w:p>
                      <w:p w:rsidR="00AA22D2" w:rsidRPr="00AA22D2" w:rsidRDefault="00AA22D2" w:rsidP="00AA22D2">
                        <w:pPr>
                          <w:spacing w:after="0" w:line="270" w:lineRule="atLeast"/>
                          <w:rPr>
                            <w:rFonts w:ascii="Arial" w:eastAsia="Times New Roman" w:hAnsi="Arial" w:cs="Arial"/>
                            <w:sz w:val="24"/>
                            <w:szCs w:val="24"/>
                            <w:lang w:eastAsia="ru-RU"/>
                          </w:rPr>
                        </w:pPr>
                        <w:hyperlink r:id="rId14" w:tgtFrame="_blank" w:history="1">
                          <w:r w:rsidRPr="00AA22D2">
                            <w:rPr>
                              <w:rFonts w:ascii="Arial" w:eastAsia="Times New Roman" w:hAnsi="Arial" w:cs="Arial"/>
                              <w:color w:val="2283C3"/>
                              <w:sz w:val="24"/>
                              <w:szCs w:val="24"/>
                              <w:u w:val="single"/>
                              <w:bdr w:val="none" w:sz="0" w:space="0" w:color="auto" w:frame="1"/>
                              <w:lang w:eastAsia="ru-RU"/>
                            </w:rPr>
                            <w:t>Скачать файл</w:t>
                          </w:r>
                          <w:r w:rsidRPr="00AA22D2">
                            <w:rPr>
                              <w:rFonts w:ascii="Arial" w:eastAsia="Times New Roman" w:hAnsi="Arial" w:cs="Arial"/>
                              <w:color w:val="2283C3"/>
                              <w:sz w:val="24"/>
                              <w:szCs w:val="24"/>
                              <w:bdr w:val="none" w:sz="0" w:space="0" w:color="auto" w:frame="1"/>
                              <w:lang w:eastAsia="ru-RU"/>
                            </w:rPr>
                            <w:t> </w:t>
                          </w:r>
                          <w:r w:rsidRPr="00AA22D2">
                            <w:rPr>
                              <w:rFonts w:ascii="Arial" w:eastAsia="Times New Roman" w:hAnsi="Arial" w:cs="Arial"/>
                              <w:b/>
                              <w:bCs/>
                              <w:color w:val="2283C3"/>
                              <w:sz w:val="24"/>
                              <w:szCs w:val="24"/>
                              <w:u w:val="single"/>
                              <w:bdr w:val="none" w:sz="0" w:space="0" w:color="auto" w:frame="1"/>
                              <w:lang w:eastAsia="ru-RU"/>
                            </w:rPr>
                            <w:t>КД с изменениями.7z</w:t>
                          </w:r>
                        </w:hyperlink>
                        <w:r w:rsidRPr="00AA22D2">
                          <w:rPr>
                            <w:rFonts w:ascii="Arial" w:eastAsia="Times New Roman" w:hAnsi="Arial" w:cs="Arial"/>
                            <w:sz w:val="24"/>
                            <w:szCs w:val="24"/>
                            <w:lang w:eastAsia="ru-RU"/>
                          </w:rPr>
                          <w:t> (8.3 МБ)</w:t>
                        </w:r>
                      </w:p>
                      <w:p w:rsidR="00AA22D2" w:rsidRPr="00AA22D2" w:rsidRDefault="00AA22D2" w:rsidP="00AA22D2">
                        <w:pPr>
                          <w:spacing w:after="0" w:line="270" w:lineRule="atLeast"/>
                          <w:rPr>
                            <w:rFonts w:ascii="Arial" w:eastAsia="Times New Roman" w:hAnsi="Arial" w:cs="Arial"/>
                            <w:sz w:val="24"/>
                            <w:szCs w:val="24"/>
                            <w:lang w:eastAsia="ru-RU"/>
                          </w:rPr>
                        </w:pPr>
                        <w:hyperlink r:id="rId15" w:history="1">
                          <w:r w:rsidRPr="00AA22D2">
                            <w:rPr>
                              <w:rFonts w:ascii="Arial" w:eastAsia="Times New Roman" w:hAnsi="Arial" w:cs="Arial"/>
                              <w:color w:val="2283C3"/>
                              <w:sz w:val="24"/>
                              <w:szCs w:val="24"/>
                              <w:u w:val="single"/>
                              <w:bdr w:val="none" w:sz="0" w:space="0" w:color="auto" w:frame="1"/>
                              <w:lang w:eastAsia="ru-RU"/>
                            </w:rPr>
                            <w:t>Получить все файлы единым архивом</w:t>
                          </w:r>
                        </w:hyperlink>
                      </w:p>
                      <w:p w:rsidR="00AA22D2" w:rsidRPr="00AA22D2" w:rsidRDefault="00AA22D2" w:rsidP="00AA22D2">
                        <w:pPr>
                          <w:spacing w:after="0" w:line="270" w:lineRule="atLeast"/>
                          <w:rPr>
                            <w:rFonts w:ascii="Arial" w:eastAsia="Times New Roman" w:hAnsi="Arial" w:cs="Arial"/>
                            <w:sz w:val="24"/>
                            <w:szCs w:val="24"/>
                            <w:lang w:eastAsia="ru-RU"/>
                          </w:rPr>
                        </w:pPr>
                        <w:hyperlink r:id="rId16" w:tgtFrame="signature" w:history="1">
                          <w:r w:rsidRPr="00AA22D2">
                            <w:rPr>
                              <w:rFonts w:ascii="Arial" w:eastAsia="Times New Roman" w:hAnsi="Arial" w:cs="Arial"/>
                              <w:color w:val="2283C3"/>
                              <w:sz w:val="24"/>
                              <w:szCs w:val="24"/>
                              <w:u w:val="single"/>
                              <w:bdr w:val="none" w:sz="0" w:space="0" w:color="auto" w:frame="1"/>
                              <w:lang w:eastAsia="ru-RU"/>
                            </w:rPr>
                            <w:t>Подписана ЭП</w:t>
                          </w:r>
                        </w:hyperlink>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Порядок предоставления конкурсной документации:</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Обеспечение конкурсных заявок, кроме банковских гарантий:</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AA22D2">
                          <w:rPr>
                            <w:rFonts w:ascii="Arial" w:eastAsia="Times New Roman" w:hAnsi="Arial" w:cs="Arial"/>
                            <w:sz w:val="24"/>
                            <w:szCs w:val="24"/>
                            <w:lang w:eastAsia="ru-RU"/>
                          </w:rPr>
                          <w:b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Конкурсные заявки:</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w:t>
                        </w:r>
                        <w:r w:rsidRPr="00AA22D2">
                          <w:rPr>
                            <w:rFonts w:ascii="Arial" w:eastAsia="Times New Roman" w:hAnsi="Arial" w:cs="Arial"/>
                            <w:sz w:val="24"/>
                            <w:szCs w:val="24"/>
                            <w:lang w:eastAsia="ru-RU"/>
                          </w:rPr>
                          <w:lastRenderedPageBreak/>
                          <w:t>электронной системы «b2b-mrsk.ru» в установленный срок.</w:t>
                        </w:r>
                      </w:p>
                    </w:tc>
                  </w:tr>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lastRenderedPageBreak/>
                          <w:t>При выборе победителя учитывается:</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Цена с НДС</w:t>
                        </w:r>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Место вскрытия конвертов:</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Вскрытие конвертов с заявками состоится на сайте системы электронных торгов группы B2B-Center (www.b2b-center.ru).</w:t>
                        </w:r>
                      </w:p>
                    </w:tc>
                  </w:tr>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Дата окончания подачи заявок:</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Вскрытие конвертов с заявками состоится </w:t>
                        </w:r>
                        <w:r w:rsidRPr="00AA22D2">
                          <w:rPr>
                            <w:rFonts w:ascii="Arial" w:eastAsia="Times New Roman" w:hAnsi="Arial" w:cs="Arial"/>
                            <w:b/>
                            <w:bCs/>
                            <w:sz w:val="24"/>
                            <w:szCs w:val="24"/>
                            <w:lang w:eastAsia="ru-RU"/>
                          </w:rPr>
                          <w:t>24.02.2016 в 08:00 по московскому времени</w:t>
                        </w:r>
                        <w:r w:rsidRPr="00AA22D2">
                          <w:rPr>
                            <w:rFonts w:ascii="Arial" w:eastAsia="Times New Roman" w:hAnsi="Arial" w:cs="Arial"/>
                            <w:sz w:val="24"/>
                            <w:szCs w:val="24"/>
                            <w:lang w:eastAsia="ru-RU"/>
                          </w:rPr>
                          <w:t>.</w:t>
                        </w:r>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Дата рассмотрения заявок:</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15.03.2016 15:00</w:t>
                        </w:r>
                      </w:p>
                    </w:tc>
                  </w:tr>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Место рассмотрения заявок:</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Тюменская область, Ханты-Мансийский автономный округ-Югра, г. Нижневартовск, ул. Пермская, 22.</w:t>
                        </w:r>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Дата и время подведения итогов:</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25.03.2016 15:00</w:t>
                        </w:r>
                      </w:p>
                    </w:tc>
                  </w:tr>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Место подведения итогов:</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Тюменская область, Ханты-Мансийский автономный округ-Югра, г. Нижневартовск, ул. Пермская, 22.</w:t>
                        </w:r>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Критерии выбора победителя и сроки заключения договора:</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Лимитная (начальная) цена закупки:</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Лот № 1. 12 339 286,09 (цена с НДС)</w:t>
                        </w:r>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Переторжка:</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Организатор конкурса имеет право воспользоваться правом на проведение переторжки.</w:t>
                        </w:r>
                      </w:p>
                    </w:tc>
                  </w:tr>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Поставщик не должен находиться в реестре недобросовестных поставщиков:</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Да</w:t>
                        </w:r>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 xml:space="preserve">Возможно участие только субъектов малого и среднего </w:t>
                        </w:r>
                        <w:r w:rsidRPr="00AA22D2">
                          <w:rPr>
                            <w:rFonts w:ascii="Arial" w:eastAsia="Times New Roman" w:hAnsi="Arial" w:cs="Arial"/>
                            <w:sz w:val="24"/>
                            <w:szCs w:val="24"/>
                            <w:lang w:eastAsia="ru-RU"/>
                          </w:rPr>
                          <w:lastRenderedPageBreak/>
                          <w:t>предпринимательства</w:t>
                        </w:r>
                        <w:r w:rsidRPr="00AA22D2">
                          <w:rPr>
                            <w:rFonts w:ascii="Arial" w:eastAsia="Times New Roman" w:hAnsi="Arial" w:cs="Arial"/>
                            <w:noProof/>
                            <w:sz w:val="24"/>
                            <w:szCs w:val="24"/>
                            <w:lang w:eastAsia="ru-RU"/>
                          </w:rPr>
                          <mc:AlternateContent>
                            <mc:Choice Requires="wps">
                              <w:drawing>
                                <wp:inline distT="0" distB="0" distL="0" distR="0" wp14:anchorId="1A9A3452" wp14:editId="2BACE168">
                                  <wp:extent cx="304800" cy="304800"/>
                                  <wp:effectExtent l="0" t="0" r="0" b="0"/>
                                  <wp:docPr id="1" name="AutoShape 1" descr="https://www.b2b-center.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4D3872" id="AutoShape 1" o:spid="_x0000_s1026" alt="https://www.b2b-center.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7h4A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bsyu4eACAAD/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AA22D2">
                          <w:rPr>
                            <w:rFonts w:ascii="Arial" w:eastAsia="Times New Roman" w:hAnsi="Arial" w:cs="Arial"/>
                            <w:sz w:val="24"/>
                            <w:szCs w:val="24"/>
                            <w:lang w:eastAsia="ru-RU"/>
                          </w:rPr>
                          <w:t>:</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lastRenderedPageBreak/>
                          <w:t>Да</w:t>
                        </w:r>
                      </w:p>
                    </w:tc>
                  </w:tr>
                  <w:tr w:rsidR="00AA22D2" w:rsidRPr="00AA22D2">
                    <w:trPr>
                      <w:tblCellSpacing w:w="0" w:type="dxa"/>
                    </w:trPr>
                    <w:tc>
                      <w:tcPr>
                        <w:tcW w:w="0" w:type="auto"/>
                        <w:shd w:val="clear" w:color="auto" w:fill="DDE3EB"/>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lastRenderedPageBreak/>
                          <w:t>Дополнительная информация о конкурсе:</w:t>
                        </w:r>
                      </w:p>
                    </w:tc>
                    <w:tc>
                      <w:tcPr>
                        <w:tcW w:w="0" w:type="auto"/>
                        <w:shd w:val="clear" w:color="auto" w:fill="DDE3EB"/>
                        <w:hideMark/>
                      </w:tcPr>
                      <w:p w:rsidR="00AA22D2" w:rsidRPr="00AA22D2" w:rsidRDefault="00AA22D2" w:rsidP="00AA22D2">
                        <w:pPr>
                          <w:spacing w:after="0" w:line="270" w:lineRule="atLeast"/>
                          <w:rPr>
                            <w:rFonts w:ascii="Arial" w:eastAsia="Times New Roman" w:hAnsi="Arial" w:cs="Arial"/>
                            <w:sz w:val="24"/>
                            <w:szCs w:val="24"/>
                            <w:lang w:eastAsia="ru-RU"/>
                          </w:rPr>
                        </w:pPr>
                        <w:r w:rsidRPr="00AA22D2">
                          <w:rPr>
                            <w:rFonts w:ascii="Arial" w:eastAsia="Times New Roman" w:hAnsi="Arial" w:cs="Arial"/>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A22D2">
                          <w:rPr>
                            <w:rFonts w:ascii="Arial" w:eastAsia="Times New Roman" w:hAnsi="Arial" w:cs="Arial"/>
                            <w:sz w:val="24"/>
                            <w:szCs w:val="24"/>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AA22D2">
                          <w:rPr>
                            <w:rFonts w:ascii="Arial" w:eastAsia="Times New Roman" w:hAnsi="Arial" w:cs="Arial"/>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A22D2">
                          <w:rPr>
                            <w:rFonts w:ascii="Arial" w:eastAsia="Times New Roman" w:hAnsi="Arial" w:cs="Arial"/>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A22D2">
                          <w:rPr>
                            <w:rFonts w:ascii="Arial" w:eastAsia="Times New Roman" w:hAnsi="Arial" w:cs="Arial"/>
                            <w:sz w:val="24"/>
                            <w:szCs w:val="24"/>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AA22D2">
                          <w:rPr>
                            <w:rFonts w:ascii="Arial" w:eastAsia="Times New Roman" w:hAnsi="Arial" w:cs="Arial"/>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A22D2">
                          <w:rPr>
                            <w:rFonts w:ascii="Arial" w:eastAsia="Times New Roman" w:hAnsi="Arial" w:cs="Arial"/>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AA22D2" w:rsidRPr="00AA22D2">
                    <w:trPr>
                      <w:tblCellSpacing w:w="0" w:type="dxa"/>
                    </w:trPr>
                    <w:tc>
                      <w:tcPr>
                        <w:tcW w:w="0" w:type="auto"/>
                        <w:shd w:val="clear" w:color="auto" w:fill="EDF0F3"/>
                        <w:hideMark/>
                      </w:tcPr>
                      <w:p w:rsidR="00AA22D2" w:rsidRPr="00AA22D2" w:rsidRDefault="00AA22D2" w:rsidP="00AA22D2">
                        <w:pPr>
                          <w:spacing w:after="0" w:line="270" w:lineRule="atLeast"/>
                          <w:jc w:val="right"/>
                          <w:rPr>
                            <w:rFonts w:ascii="Arial" w:eastAsia="Times New Roman" w:hAnsi="Arial" w:cs="Arial"/>
                            <w:sz w:val="24"/>
                            <w:szCs w:val="24"/>
                            <w:lang w:eastAsia="ru-RU"/>
                          </w:rPr>
                        </w:pPr>
                        <w:r w:rsidRPr="00AA22D2">
                          <w:rPr>
                            <w:rFonts w:ascii="Arial" w:eastAsia="Times New Roman" w:hAnsi="Arial" w:cs="Arial"/>
                            <w:sz w:val="24"/>
                            <w:szCs w:val="24"/>
                            <w:lang w:eastAsia="ru-RU"/>
                          </w:rPr>
                          <w:t>Адрес места поставки товара, проведения работ или оказания услуг:</w:t>
                        </w:r>
                      </w:p>
                    </w:tc>
                    <w:tc>
                      <w:tcPr>
                        <w:tcW w:w="0" w:type="auto"/>
                        <w:shd w:val="clear" w:color="auto" w:fill="EDF0F3"/>
                        <w:hideMark/>
                      </w:tcPr>
                      <w:p w:rsidR="00AA22D2" w:rsidRPr="00AA22D2" w:rsidRDefault="00AA22D2" w:rsidP="00AA22D2">
                        <w:pPr>
                          <w:spacing w:after="0" w:line="270" w:lineRule="atLeast"/>
                          <w:rPr>
                            <w:rFonts w:ascii="Arial" w:eastAsia="Times New Roman" w:hAnsi="Arial" w:cs="Arial"/>
                            <w:sz w:val="24"/>
                            <w:szCs w:val="24"/>
                            <w:lang w:eastAsia="ru-RU"/>
                          </w:rPr>
                        </w:pPr>
                        <w:hyperlink r:id="rId17" w:history="1">
                          <w:r w:rsidRPr="00AA22D2">
                            <w:rPr>
                              <w:rFonts w:ascii="Arial" w:eastAsia="Times New Roman" w:hAnsi="Arial" w:cs="Arial"/>
                              <w:color w:val="2283C3"/>
                              <w:sz w:val="24"/>
                              <w:szCs w:val="24"/>
                              <w:u w:val="single"/>
                              <w:bdr w:val="none" w:sz="0" w:space="0" w:color="auto" w:frame="1"/>
                              <w:lang w:eastAsia="ru-RU"/>
                            </w:rPr>
                            <w:t>628617, Ханты-Мансийский Автономный округ - Югра, Тюменская область, г. Нижневартовск, ул. Пермск</w:t>
                          </w:r>
                        </w:hyperlink>
                      </w:p>
                    </w:tc>
                  </w:tr>
                </w:tbl>
                <w:p w:rsidR="00AA22D2" w:rsidRPr="00AA22D2" w:rsidRDefault="00AA22D2" w:rsidP="00AA22D2">
                  <w:pPr>
                    <w:spacing w:after="0" w:line="270" w:lineRule="atLeast"/>
                    <w:rPr>
                      <w:rFonts w:ascii="Arial" w:eastAsia="Times New Roman" w:hAnsi="Arial" w:cs="Arial"/>
                      <w:sz w:val="24"/>
                      <w:szCs w:val="24"/>
                      <w:lang w:eastAsia="ru-RU"/>
                    </w:rPr>
                  </w:pPr>
                </w:p>
              </w:tc>
            </w:tr>
          </w:tbl>
          <w:p w:rsidR="00AA22D2" w:rsidRPr="00AA22D2" w:rsidRDefault="00AA22D2" w:rsidP="00AA22D2">
            <w:pPr>
              <w:spacing w:after="0" w:line="270" w:lineRule="atLeast"/>
              <w:rPr>
                <w:rFonts w:ascii="Arial" w:eastAsia="Times New Roman" w:hAnsi="Arial" w:cs="Arial"/>
                <w:sz w:val="24"/>
                <w:szCs w:val="24"/>
                <w:lang w:eastAsia="ru-RU"/>
              </w:rPr>
            </w:pPr>
          </w:p>
        </w:tc>
      </w:tr>
    </w:tbl>
    <w:p w:rsidR="00955EC5" w:rsidRDefault="00955EC5">
      <w:bookmarkStart w:id="0" w:name="_GoBack"/>
      <w:bookmarkEnd w:id="0"/>
    </w:p>
    <w:sectPr w:rsidR="00955E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37E4C"/>
    <w:multiLevelType w:val="multilevel"/>
    <w:tmpl w:val="0794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D2"/>
    <w:rsid w:val="00955EC5"/>
    <w:rsid w:val="00AA2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974C1-1881-49B3-AC15-2BEC7CE8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097198">
      <w:bodyDiv w:val="1"/>
      <w:marLeft w:val="0"/>
      <w:marRight w:val="0"/>
      <w:marTop w:val="0"/>
      <w:marBottom w:val="0"/>
      <w:divBdr>
        <w:top w:val="none" w:sz="0" w:space="0" w:color="auto"/>
        <w:left w:val="none" w:sz="0" w:space="0" w:color="auto"/>
        <w:bottom w:val="none" w:sz="0" w:space="0" w:color="auto"/>
        <w:right w:val="none" w:sz="0" w:space="0" w:color="auto"/>
      </w:divBdr>
      <w:divsChild>
        <w:div w:id="1338581704">
          <w:marLeft w:val="0"/>
          <w:marRight w:val="0"/>
          <w:marTop w:val="0"/>
          <w:marBottom w:val="0"/>
          <w:divBdr>
            <w:top w:val="none" w:sz="0" w:space="0" w:color="auto"/>
            <w:left w:val="none" w:sz="0" w:space="0" w:color="auto"/>
            <w:bottom w:val="none" w:sz="0" w:space="0" w:color="auto"/>
            <w:right w:val="none" w:sz="0" w:space="0" w:color="auto"/>
          </w:divBdr>
          <w:divsChild>
            <w:div w:id="661470091">
              <w:marLeft w:val="0"/>
              <w:marRight w:val="0"/>
              <w:marTop w:val="0"/>
              <w:marBottom w:val="0"/>
              <w:divBdr>
                <w:top w:val="none" w:sz="0" w:space="0" w:color="auto"/>
                <w:left w:val="none" w:sz="0" w:space="0" w:color="auto"/>
                <w:bottom w:val="none" w:sz="0" w:space="0" w:color="auto"/>
                <w:right w:val="none" w:sz="0" w:space="0" w:color="auto"/>
              </w:divBdr>
              <w:divsChild>
                <w:div w:id="1530489107">
                  <w:marLeft w:val="0"/>
                  <w:marRight w:val="0"/>
                  <w:marTop w:val="100"/>
                  <w:marBottom w:val="100"/>
                  <w:divBdr>
                    <w:top w:val="none" w:sz="0" w:space="0" w:color="auto"/>
                    <w:left w:val="none" w:sz="0" w:space="0" w:color="auto"/>
                    <w:bottom w:val="none" w:sz="0" w:space="0" w:color="auto"/>
                    <w:right w:val="none" w:sz="0" w:space="0" w:color="auto"/>
                  </w:divBdr>
                  <w:divsChild>
                    <w:div w:id="1944998810">
                      <w:marLeft w:val="0"/>
                      <w:marRight w:val="-450"/>
                      <w:marTop w:val="0"/>
                      <w:marBottom w:val="0"/>
                      <w:divBdr>
                        <w:top w:val="none" w:sz="0" w:space="0" w:color="auto"/>
                        <w:left w:val="none" w:sz="0" w:space="0" w:color="auto"/>
                        <w:bottom w:val="none" w:sz="0" w:space="0" w:color="auto"/>
                        <w:right w:val="none" w:sz="0" w:space="0" w:color="auto"/>
                      </w:divBdr>
                      <w:divsChild>
                        <w:div w:id="6857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478425">
          <w:marLeft w:val="0"/>
          <w:marRight w:val="0"/>
          <w:marTop w:val="0"/>
          <w:marBottom w:val="0"/>
          <w:divBdr>
            <w:top w:val="none" w:sz="0" w:space="0" w:color="auto"/>
            <w:left w:val="none" w:sz="0" w:space="0" w:color="auto"/>
            <w:bottom w:val="none" w:sz="0" w:space="0" w:color="auto"/>
            <w:right w:val="none" w:sz="0" w:space="0" w:color="auto"/>
          </w:divBdr>
          <w:divsChild>
            <w:div w:id="74398410">
              <w:marLeft w:val="0"/>
              <w:marRight w:val="0"/>
              <w:marTop w:val="0"/>
              <w:marBottom w:val="0"/>
              <w:divBdr>
                <w:top w:val="none" w:sz="0" w:space="0" w:color="auto"/>
                <w:left w:val="none" w:sz="0" w:space="0" w:color="auto"/>
                <w:bottom w:val="none" w:sz="0" w:space="0" w:color="auto"/>
                <w:right w:val="none" w:sz="0" w:space="0" w:color="auto"/>
              </w:divBdr>
              <w:divsChild>
                <w:div w:id="867838282">
                  <w:marLeft w:val="0"/>
                  <w:marRight w:val="0"/>
                  <w:marTop w:val="0"/>
                  <w:marBottom w:val="0"/>
                  <w:divBdr>
                    <w:top w:val="none" w:sz="0" w:space="0" w:color="auto"/>
                    <w:left w:val="none" w:sz="0" w:space="0" w:color="auto"/>
                    <w:bottom w:val="none" w:sz="0" w:space="0" w:color="auto"/>
                    <w:right w:val="none" w:sz="0" w:space="0" w:color="auto"/>
                  </w:divBdr>
                </w:div>
                <w:div w:id="159467393">
                  <w:marLeft w:val="0"/>
                  <w:marRight w:val="0"/>
                  <w:marTop w:val="0"/>
                  <w:marBottom w:val="0"/>
                  <w:divBdr>
                    <w:top w:val="none" w:sz="0" w:space="0" w:color="auto"/>
                    <w:left w:val="none" w:sz="0" w:space="0" w:color="auto"/>
                    <w:bottom w:val="none" w:sz="0" w:space="0" w:color="auto"/>
                    <w:right w:val="none" w:sz="0" w:space="0" w:color="auto"/>
                  </w:divBdr>
                </w:div>
                <w:div w:id="1067801105">
                  <w:marLeft w:val="0"/>
                  <w:marRight w:val="0"/>
                  <w:marTop w:val="0"/>
                  <w:marBottom w:val="0"/>
                  <w:divBdr>
                    <w:top w:val="none" w:sz="0" w:space="0" w:color="auto"/>
                    <w:left w:val="none" w:sz="0" w:space="0" w:color="auto"/>
                    <w:bottom w:val="none" w:sz="0" w:space="0" w:color="auto"/>
                    <w:right w:val="none" w:sz="0" w:space="0" w:color="auto"/>
                  </w:divBdr>
                </w:div>
                <w:div w:id="1512717637">
                  <w:marLeft w:val="0"/>
                  <w:marRight w:val="0"/>
                  <w:marTop w:val="0"/>
                  <w:marBottom w:val="0"/>
                  <w:divBdr>
                    <w:top w:val="none" w:sz="0" w:space="0" w:color="auto"/>
                    <w:left w:val="none" w:sz="0" w:space="0" w:color="auto"/>
                    <w:bottom w:val="none" w:sz="0" w:space="0" w:color="auto"/>
                    <w:right w:val="none" w:sz="0" w:space="0" w:color="auto"/>
                  </w:divBdr>
                </w:div>
                <w:div w:id="1885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_tender.html?id=47975&amp;show=changes" TargetMode="External"/><Relationship Id="rId13" Type="http://schemas.openxmlformats.org/officeDocument/2006/relationships/hyperlink" Target="https://www.b2b-center.ru/download.html?file=file%2F43825604.pdf&amp;title=%D0%98%D0%B7%D0%BC%D0%B5%D0%BD%D0%B5%D0%BD%D0%B8%D1%8F.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2b-center.ru/market/edit_tender.html?id=47975&amp;action=send_letters" TargetMode="External"/><Relationship Id="rId12" Type="http://schemas.openxmlformats.org/officeDocument/2006/relationships/hyperlink" Target="mailto:ChernyhYN@vartanet.ru" TargetMode="External"/><Relationship Id="rId17" Type="http://schemas.openxmlformats.org/officeDocument/2006/relationships/hyperlink" Target="https://www.b2b-center.ru/market/view_tender.html?id=47975" TargetMode="External"/><Relationship Id="rId2" Type="http://schemas.openxmlformats.org/officeDocument/2006/relationships/styles" Target="styles.xml"/><Relationship Id="rId16" Type="http://schemas.openxmlformats.org/officeDocument/2006/relationships/hyperlink" Target="https://www.b2b-center.ru/market/view_tender.html?id=47975&amp;action=signed_doc&amp;key=docs" TargetMode="External"/><Relationship Id="rId1" Type="http://schemas.openxmlformats.org/officeDocument/2006/relationships/numbering" Target="numbering.xml"/><Relationship Id="rId6" Type="http://schemas.openxmlformats.org/officeDocument/2006/relationships/hyperlink" Target="https://www.b2b-center.ru/market/view_tender.html?id=47975&amp;action=explanation" TargetMode="External"/><Relationship Id="rId11" Type="http://schemas.openxmlformats.org/officeDocument/2006/relationships/hyperlink" Target="https://www.b2b-center.ru/popups/send_message.html?action=send&amp;to=125052&amp;subject=%D0%92%D0%BE%D0%BF%D1%80%D0%BE%D1%81+%D0%BF%D0%BE+%D0%BA%D0%BE%D0%BD%D0%BA%D1%83%D1%80%D1%81%D1%83+%E2%84%96+47975" TargetMode="External"/><Relationship Id="rId5" Type="http://schemas.openxmlformats.org/officeDocument/2006/relationships/hyperlink" Target="https://www.b2b-center.ru/market/view_tender.html?id=47975&amp;show=lots" TargetMode="External"/><Relationship Id="rId15" Type="http://schemas.openxmlformats.org/officeDocument/2006/relationships/hyperlink" Target="https://www.b2b-center.ru/market/view_tender.html?id=47975" TargetMode="External"/><Relationship Id="rId10" Type="http://schemas.openxmlformats.org/officeDocument/2006/relationships/hyperlink" Target="https://www.b2b-center.ru/market/list_tenders.html?open=1&amp;all=0&amp;cat_id=645211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2b-center.ru/firms/filial-aktsionernogo-obshchestva-energetiki-i-elektrifikatsii-tiumenenergo-nizhnevartovskie-elektricheskie-seti/102351/" TargetMode="External"/><Relationship Id="rId14" Type="http://schemas.openxmlformats.org/officeDocument/2006/relationships/hyperlink" Target="https://www.b2b-center.ru/download.html?file=file%2F43825605.7z&amp;title=%D0%9A%D0%94+%D1%81+%D0%B8%D0%B7%D0%BC%D0%B5%D0%BD%D0%B5%D0%BD%D0%B8%D1%8F%D0%BC%D0%B8.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2672</Words>
  <Characters>15236</Characters>
  <Application>Microsoft Office Word</Application>
  <DocSecurity>0</DocSecurity>
  <Lines>126</Lines>
  <Paragraphs>35</Paragraphs>
  <ScaleCrop>false</ScaleCrop>
  <Company>NVES</Company>
  <LinksUpToDate>false</LinksUpToDate>
  <CharactersWithSpaces>17873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dcterms:created xsi:type="dcterms:W3CDTF">2016-02-05T02:41:00Z</dcterms:created>
  <dcterms:modified xsi:type="dcterms:W3CDTF">2016-02-05T02:42:00Z</dcterms:modified>
</cp:coreProperties>
</file>