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350"/>
        <w:gridCol w:w="6005"/>
      </w:tblGrid>
      <w:tr w:rsidR="007170C7" w:rsidRPr="007170C7">
        <w:trPr>
          <w:tblCellSpacing w:w="0" w:type="dxa"/>
        </w:trPr>
        <w:tc>
          <w:tcPr>
            <w:tcW w:w="4950" w:type="pct"/>
            <w:shd w:val="clear" w:color="auto" w:fill="E9E9E9"/>
            <w:hideMark/>
          </w:tcPr>
          <w:p w:rsidR="007170C7" w:rsidRPr="007170C7" w:rsidRDefault="007170C7" w:rsidP="007170C7">
            <w:pPr>
              <w:spacing w:after="0" w:line="240" w:lineRule="auto"/>
              <w:rPr>
                <w:rFonts w:ascii="Arial" w:eastAsia="Times New Roman" w:hAnsi="Arial" w:cs="Arial"/>
                <w:sz w:val="18"/>
                <w:szCs w:val="18"/>
                <w:lang w:eastAsia="ru-RU"/>
              </w:rPr>
            </w:pPr>
            <w:bookmarkStart w:id="0" w:name="expl_167532"/>
            <w:bookmarkEnd w:id="0"/>
            <w:proofErr w:type="gramStart"/>
            <w:r w:rsidRPr="007170C7">
              <w:rPr>
                <w:rFonts w:ascii="Arial" w:eastAsia="Times New Roman" w:hAnsi="Arial" w:cs="Arial"/>
                <w:b/>
                <w:bCs/>
                <w:sz w:val="18"/>
                <w:szCs w:val="18"/>
                <w:lang w:eastAsia="ru-RU"/>
              </w:rPr>
              <w:t>Вопрос:</w:t>
            </w:r>
            <w:r w:rsidRPr="007170C7">
              <w:rPr>
                <w:rFonts w:ascii="Arial" w:eastAsia="Times New Roman" w:hAnsi="Arial" w:cs="Arial"/>
                <w:sz w:val="18"/>
                <w:szCs w:val="18"/>
                <w:lang w:eastAsia="ru-RU"/>
              </w:rPr>
              <w:t xml:space="preserve">  [</w:t>
            </w:r>
            <w:proofErr w:type="gramEnd"/>
            <w:r w:rsidRPr="007170C7">
              <w:rPr>
                <w:rFonts w:ascii="Arial" w:eastAsia="Times New Roman" w:hAnsi="Arial" w:cs="Arial"/>
                <w:sz w:val="18"/>
                <w:szCs w:val="18"/>
                <w:lang w:eastAsia="ru-RU"/>
              </w:rPr>
              <w:fldChar w:fldCharType="begin"/>
            </w:r>
            <w:r w:rsidRPr="007170C7">
              <w:rPr>
                <w:rFonts w:ascii="Arial" w:eastAsia="Times New Roman" w:hAnsi="Arial" w:cs="Arial"/>
                <w:sz w:val="18"/>
                <w:szCs w:val="18"/>
                <w:lang w:eastAsia="ru-RU"/>
              </w:rPr>
              <w:instrText xml:space="preserve"> HYPERLINK "http://www.b2b-mrsk.ru/market/view_tender.html?action=explanation&amp;id=45286&amp;doexpl=answer&amp;expl_id=167532" </w:instrText>
            </w:r>
            <w:r w:rsidRPr="007170C7">
              <w:rPr>
                <w:rFonts w:ascii="Arial" w:eastAsia="Times New Roman" w:hAnsi="Arial" w:cs="Arial"/>
                <w:sz w:val="18"/>
                <w:szCs w:val="18"/>
                <w:lang w:eastAsia="ru-RU"/>
              </w:rPr>
              <w:fldChar w:fldCharType="separate"/>
            </w:r>
            <w:r w:rsidRPr="007170C7">
              <w:rPr>
                <w:rFonts w:ascii="Arial" w:eastAsia="Times New Roman" w:hAnsi="Arial" w:cs="Arial"/>
                <w:color w:val="1C50A4"/>
                <w:sz w:val="18"/>
                <w:szCs w:val="18"/>
                <w:lang w:eastAsia="ru-RU"/>
              </w:rPr>
              <w:t>Исправить ответ</w:t>
            </w:r>
            <w:r w:rsidRPr="007170C7">
              <w:rPr>
                <w:rFonts w:ascii="Arial" w:eastAsia="Times New Roman" w:hAnsi="Arial" w:cs="Arial"/>
                <w:sz w:val="18"/>
                <w:szCs w:val="18"/>
                <w:lang w:eastAsia="ru-RU"/>
              </w:rPr>
              <w:fldChar w:fldCharType="end"/>
            </w:r>
            <w:r w:rsidRPr="007170C7">
              <w:rPr>
                <w:rFonts w:ascii="Arial" w:eastAsia="Times New Roman" w:hAnsi="Arial" w:cs="Arial"/>
                <w:sz w:val="18"/>
                <w:szCs w:val="18"/>
                <w:lang w:eastAsia="ru-RU"/>
              </w:rPr>
              <w:t xml:space="preserve">] </w:t>
            </w:r>
          </w:p>
        </w:tc>
        <w:tc>
          <w:tcPr>
            <w:tcW w:w="0" w:type="auto"/>
            <w:shd w:val="clear" w:color="auto" w:fill="E9E9E9"/>
            <w:noWrap/>
            <w:hideMark/>
          </w:tcPr>
          <w:p w:rsidR="007170C7" w:rsidRPr="007170C7" w:rsidRDefault="007170C7" w:rsidP="007170C7">
            <w:pPr>
              <w:spacing w:after="0" w:line="240" w:lineRule="auto"/>
              <w:jc w:val="right"/>
              <w:rPr>
                <w:rFonts w:ascii="Arial" w:eastAsia="Times New Roman" w:hAnsi="Arial" w:cs="Arial"/>
                <w:sz w:val="18"/>
                <w:szCs w:val="18"/>
                <w:lang w:eastAsia="ru-RU"/>
              </w:rPr>
            </w:pPr>
            <w:hyperlink r:id="rId4" w:tgtFrame="_blank" w:tooltip="Отправить личное сообщение" w:history="1">
              <w:r w:rsidRPr="007170C7">
                <w:rPr>
                  <w:rFonts w:ascii="Arial" w:eastAsia="Times New Roman" w:hAnsi="Arial" w:cs="Arial"/>
                  <w:color w:val="1C50A4"/>
                  <w:sz w:val="18"/>
                  <w:szCs w:val="18"/>
                  <w:lang w:eastAsia="ru-RU"/>
                </w:rPr>
                <w:t xml:space="preserve">Давыдов Андрей </w:t>
              </w:r>
              <w:proofErr w:type="spellStart"/>
              <w:r w:rsidRPr="007170C7">
                <w:rPr>
                  <w:rFonts w:ascii="Arial" w:eastAsia="Times New Roman" w:hAnsi="Arial" w:cs="Arial"/>
                  <w:color w:val="1C50A4"/>
                  <w:sz w:val="18"/>
                  <w:szCs w:val="18"/>
                  <w:lang w:eastAsia="ru-RU"/>
                </w:rPr>
                <w:t>Евгениевич</w:t>
              </w:r>
              <w:proofErr w:type="spellEnd"/>
            </w:hyperlink>
            <w:r w:rsidRPr="007170C7">
              <w:rPr>
                <w:rFonts w:ascii="Arial" w:eastAsia="Times New Roman" w:hAnsi="Arial" w:cs="Arial"/>
                <w:sz w:val="18"/>
                <w:szCs w:val="18"/>
                <w:lang w:eastAsia="ru-RU"/>
              </w:rPr>
              <w:t xml:space="preserve"> (</w:t>
            </w:r>
            <w:hyperlink r:id="rId5" w:history="1">
              <w:r w:rsidRPr="007170C7">
                <w:rPr>
                  <w:rFonts w:ascii="Arial" w:eastAsia="Times New Roman" w:hAnsi="Arial" w:cs="Arial"/>
                  <w:color w:val="1C50A4"/>
                  <w:sz w:val="18"/>
                  <w:szCs w:val="18"/>
                  <w:lang w:eastAsia="ru-RU"/>
                </w:rPr>
                <w:t>ООО "ТЭК-ЭНЕРГО</w:t>
              </w:r>
              <w:proofErr w:type="gramStart"/>
              <w:r w:rsidRPr="007170C7">
                <w:rPr>
                  <w:rFonts w:ascii="Arial" w:eastAsia="Times New Roman" w:hAnsi="Arial" w:cs="Arial"/>
                  <w:color w:val="1C50A4"/>
                  <w:sz w:val="18"/>
                  <w:szCs w:val="18"/>
                  <w:lang w:eastAsia="ru-RU"/>
                </w:rPr>
                <w:t>"</w:t>
              </w:r>
            </w:hyperlink>
            <w:r w:rsidRPr="007170C7">
              <w:rPr>
                <w:rFonts w:ascii="Arial" w:eastAsia="Times New Roman" w:hAnsi="Arial" w:cs="Arial"/>
                <w:sz w:val="18"/>
                <w:szCs w:val="18"/>
                <w:lang w:eastAsia="ru-RU"/>
              </w:rPr>
              <w:t>)  02.06.2015</w:t>
            </w:r>
            <w:proofErr w:type="gramEnd"/>
            <w:r w:rsidRPr="007170C7">
              <w:rPr>
                <w:rFonts w:ascii="Arial" w:eastAsia="Times New Roman" w:hAnsi="Arial" w:cs="Arial"/>
                <w:sz w:val="18"/>
                <w:szCs w:val="18"/>
                <w:lang w:eastAsia="ru-RU"/>
              </w:rPr>
              <w:t xml:space="preserve"> 08:04 </w:t>
            </w:r>
          </w:p>
        </w:tc>
      </w:tr>
      <w:tr w:rsidR="007170C7" w:rsidRPr="007170C7">
        <w:trPr>
          <w:tblCellSpacing w:w="0" w:type="dxa"/>
        </w:trPr>
        <w:tc>
          <w:tcPr>
            <w:tcW w:w="0" w:type="auto"/>
            <w:gridSpan w:val="2"/>
            <w:shd w:val="clear" w:color="auto" w:fill="F7F7F7"/>
            <w:hideMark/>
          </w:tcPr>
          <w:p w:rsidR="007170C7" w:rsidRPr="007170C7" w:rsidRDefault="007170C7" w:rsidP="007170C7">
            <w:pPr>
              <w:spacing w:after="0" w:line="240" w:lineRule="auto"/>
              <w:rPr>
                <w:rFonts w:ascii="Arial" w:eastAsia="Times New Roman" w:hAnsi="Arial" w:cs="Arial"/>
                <w:sz w:val="18"/>
                <w:szCs w:val="18"/>
                <w:lang w:eastAsia="ru-RU"/>
              </w:rPr>
            </w:pPr>
            <w:bookmarkStart w:id="1" w:name="_GoBack"/>
            <w:bookmarkEnd w:id="1"/>
            <w:r w:rsidRPr="007170C7">
              <w:rPr>
                <w:rFonts w:ascii="Arial" w:eastAsia="Times New Roman" w:hAnsi="Arial" w:cs="Arial"/>
                <w:sz w:val="18"/>
                <w:szCs w:val="18"/>
                <w:lang w:eastAsia="ru-RU"/>
              </w:rPr>
              <w:t xml:space="preserve">На основании извещения об объявлении открытого одноэтапного конкурса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w:t>
            </w:r>
            <w:proofErr w:type="spellStart"/>
            <w:r w:rsidRPr="007170C7">
              <w:rPr>
                <w:rFonts w:ascii="Arial" w:eastAsia="Times New Roman" w:hAnsi="Arial" w:cs="Arial"/>
                <w:sz w:val="18"/>
                <w:szCs w:val="18"/>
                <w:lang w:eastAsia="ru-RU"/>
              </w:rPr>
              <w:t>Ишимского</w:t>
            </w:r>
            <w:proofErr w:type="spellEnd"/>
            <w:r w:rsidRPr="007170C7">
              <w:rPr>
                <w:rFonts w:ascii="Arial" w:eastAsia="Times New Roman" w:hAnsi="Arial" w:cs="Arial"/>
                <w:sz w:val="18"/>
                <w:szCs w:val="18"/>
                <w:lang w:eastAsia="ru-RU"/>
              </w:rPr>
              <w:t xml:space="preserve"> территориально-производственного отделения филиала ОАО «</w:t>
            </w:r>
            <w:proofErr w:type="spellStart"/>
            <w:r w:rsidRPr="007170C7">
              <w:rPr>
                <w:rFonts w:ascii="Arial" w:eastAsia="Times New Roman" w:hAnsi="Arial" w:cs="Arial"/>
                <w:sz w:val="18"/>
                <w:szCs w:val="18"/>
                <w:lang w:eastAsia="ru-RU"/>
              </w:rPr>
              <w:t>Тюменьэнерго</w:t>
            </w:r>
            <w:proofErr w:type="spellEnd"/>
            <w:r w:rsidRPr="007170C7">
              <w:rPr>
                <w:rFonts w:ascii="Arial" w:eastAsia="Times New Roman" w:hAnsi="Arial" w:cs="Arial"/>
                <w:sz w:val="18"/>
                <w:szCs w:val="18"/>
                <w:lang w:eastAsia="ru-RU"/>
              </w:rPr>
              <w:t>» Тюменские распределительные сети Общество с ограниченной ответственностью «ТЭК-</w:t>
            </w:r>
            <w:proofErr w:type="spellStart"/>
            <w:r w:rsidRPr="007170C7">
              <w:rPr>
                <w:rFonts w:ascii="Arial" w:eastAsia="Times New Roman" w:hAnsi="Arial" w:cs="Arial"/>
                <w:sz w:val="18"/>
                <w:szCs w:val="18"/>
                <w:lang w:eastAsia="ru-RU"/>
              </w:rPr>
              <w:t>Энерго</w:t>
            </w:r>
            <w:proofErr w:type="spellEnd"/>
            <w:r w:rsidRPr="007170C7">
              <w:rPr>
                <w:rFonts w:ascii="Arial" w:eastAsia="Times New Roman" w:hAnsi="Arial" w:cs="Arial"/>
                <w:sz w:val="18"/>
                <w:szCs w:val="18"/>
                <w:lang w:eastAsia="ru-RU"/>
              </w:rPr>
              <w:t>» (ООО «ТЭК-</w:t>
            </w:r>
            <w:proofErr w:type="spellStart"/>
            <w:r w:rsidRPr="007170C7">
              <w:rPr>
                <w:rFonts w:ascii="Arial" w:eastAsia="Times New Roman" w:hAnsi="Arial" w:cs="Arial"/>
                <w:sz w:val="18"/>
                <w:szCs w:val="18"/>
                <w:lang w:eastAsia="ru-RU"/>
              </w:rPr>
              <w:t>Энерго</w:t>
            </w:r>
            <w:proofErr w:type="spellEnd"/>
            <w:r w:rsidRPr="007170C7">
              <w:rPr>
                <w:rFonts w:ascii="Arial" w:eastAsia="Times New Roman" w:hAnsi="Arial" w:cs="Arial"/>
                <w:sz w:val="18"/>
                <w:szCs w:val="18"/>
                <w:lang w:eastAsia="ru-RU"/>
              </w:rPr>
              <w:t>» выражает заинтересованность в участии в конкурсе.</w:t>
            </w:r>
            <w:r w:rsidRPr="007170C7">
              <w:rPr>
                <w:rFonts w:ascii="Arial" w:eastAsia="Times New Roman" w:hAnsi="Arial" w:cs="Arial"/>
                <w:sz w:val="18"/>
                <w:szCs w:val="18"/>
                <w:lang w:eastAsia="ru-RU"/>
              </w:rPr>
              <w:br/>
              <w:t>В настоящее время проводит в ООО «ТЭК-</w:t>
            </w:r>
            <w:proofErr w:type="spellStart"/>
            <w:r w:rsidRPr="007170C7">
              <w:rPr>
                <w:rFonts w:ascii="Arial" w:eastAsia="Times New Roman" w:hAnsi="Arial" w:cs="Arial"/>
                <w:sz w:val="18"/>
                <w:szCs w:val="18"/>
                <w:lang w:eastAsia="ru-RU"/>
              </w:rPr>
              <w:t>Энерго</w:t>
            </w:r>
            <w:proofErr w:type="spellEnd"/>
            <w:r w:rsidRPr="007170C7">
              <w:rPr>
                <w:rFonts w:ascii="Arial" w:eastAsia="Times New Roman" w:hAnsi="Arial" w:cs="Arial"/>
                <w:sz w:val="18"/>
                <w:szCs w:val="18"/>
                <w:lang w:eastAsia="ru-RU"/>
              </w:rPr>
              <w:t>» проводятся мероприятия по подготовке материалов для участия в конкурсе. При подготовке документов в соответствии с конкурсной документацией возникли некоторые трудности в понимании объема и полноты предоставляемой документации.</w:t>
            </w:r>
            <w:r w:rsidRPr="007170C7">
              <w:rPr>
                <w:rFonts w:ascii="Arial" w:eastAsia="Times New Roman" w:hAnsi="Arial" w:cs="Arial"/>
                <w:sz w:val="18"/>
                <w:szCs w:val="18"/>
                <w:lang w:eastAsia="ru-RU"/>
              </w:rPr>
              <w:br/>
              <w:t xml:space="preserve">Так, например, в соответствии с конкурсной документацией Открытого одноэтапного конкурса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w:t>
            </w:r>
            <w:proofErr w:type="spellStart"/>
            <w:r w:rsidRPr="007170C7">
              <w:rPr>
                <w:rFonts w:ascii="Arial" w:eastAsia="Times New Roman" w:hAnsi="Arial" w:cs="Arial"/>
                <w:sz w:val="18"/>
                <w:szCs w:val="18"/>
                <w:lang w:eastAsia="ru-RU"/>
              </w:rPr>
              <w:t>Ишимского</w:t>
            </w:r>
            <w:proofErr w:type="spellEnd"/>
            <w:r w:rsidRPr="007170C7">
              <w:rPr>
                <w:rFonts w:ascii="Arial" w:eastAsia="Times New Roman" w:hAnsi="Arial" w:cs="Arial"/>
                <w:sz w:val="18"/>
                <w:szCs w:val="18"/>
                <w:lang w:eastAsia="ru-RU"/>
              </w:rPr>
              <w:t xml:space="preserve"> территориально-производственного отделения филиала ОАО «</w:t>
            </w:r>
            <w:proofErr w:type="spellStart"/>
            <w:r w:rsidRPr="007170C7">
              <w:rPr>
                <w:rFonts w:ascii="Arial" w:eastAsia="Times New Roman" w:hAnsi="Arial" w:cs="Arial"/>
                <w:sz w:val="18"/>
                <w:szCs w:val="18"/>
                <w:lang w:eastAsia="ru-RU"/>
              </w:rPr>
              <w:t>Тюменьэнерго</w:t>
            </w:r>
            <w:proofErr w:type="spellEnd"/>
            <w:r w:rsidRPr="007170C7">
              <w:rPr>
                <w:rFonts w:ascii="Arial" w:eastAsia="Times New Roman" w:hAnsi="Arial" w:cs="Arial"/>
                <w:sz w:val="18"/>
                <w:szCs w:val="18"/>
                <w:lang w:eastAsia="ru-RU"/>
              </w:rPr>
              <w:t>» Тюменские распределительные сети Участникам необходимо предоставить сведения в отношении всей цепочки собственников, включая бенефициаров (в том числе конечных). Кроме того, для всей цепочки собственников (учредителей, акционеров) и бенефициаров (в том числе конечных) Участникам закупки необходимо предоставить следующие документы: Для юридических лиц: Учредительные документы, выписка из ЕГРЮЛ /ЕГРИП; Протокол заседания органа управления об избрании/назначении исполнительного органа; Список лиц, зарегистрированных в реестре; Согласие на обработку персональных данных физических лиц (руководителей, учредителей, участников, акционеров); Для физических лиц: Согласие на обработку персональных данных физических лиц (учредителей, участников, акционеров), в том числе сканированная копия паспорта.</w:t>
            </w:r>
            <w:r w:rsidRPr="007170C7">
              <w:rPr>
                <w:rFonts w:ascii="Arial" w:eastAsia="Times New Roman" w:hAnsi="Arial" w:cs="Arial"/>
                <w:sz w:val="18"/>
                <w:szCs w:val="18"/>
                <w:lang w:eastAsia="ru-RU"/>
              </w:rPr>
              <w:br/>
              <w:t>Учитывая то, что ООО «ТЭК-</w:t>
            </w:r>
            <w:proofErr w:type="spellStart"/>
            <w:r w:rsidRPr="007170C7">
              <w:rPr>
                <w:rFonts w:ascii="Arial" w:eastAsia="Times New Roman" w:hAnsi="Arial" w:cs="Arial"/>
                <w:sz w:val="18"/>
                <w:szCs w:val="18"/>
                <w:lang w:eastAsia="ru-RU"/>
              </w:rPr>
              <w:t>Энерго</w:t>
            </w:r>
            <w:proofErr w:type="spellEnd"/>
            <w:r w:rsidRPr="007170C7">
              <w:rPr>
                <w:rFonts w:ascii="Arial" w:eastAsia="Times New Roman" w:hAnsi="Arial" w:cs="Arial"/>
                <w:sz w:val="18"/>
                <w:szCs w:val="18"/>
                <w:lang w:eastAsia="ru-RU"/>
              </w:rPr>
              <w:t xml:space="preserve">», являясь дочерним зависимым обществом ОАО «Тюменская </w:t>
            </w:r>
            <w:proofErr w:type="spellStart"/>
            <w:r w:rsidRPr="007170C7">
              <w:rPr>
                <w:rFonts w:ascii="Arial" w:eastAsia="Times New Roman" w:hAnsi="Arial" w:cs="Arial"/>
                <w:sz w:val="18"/>
                <w:szCs w:val="18"/>
                <w:lang w:eastAsia="ru-RU"/>
              </w:rPr>
              <w:t>энергосбытовая</w:t>
            </w:r>
            <w:proofErr w:type="spellEnd"/>
            <w:r w:rsidRPr="007170C7">
              <w:rPr>
                <w:rFonts w:ascii="Arial" w:eastAsia="Times New Roman" w:hAnsi="Arial" w:cs="Arial"/>
                <w:sz w:val="18"/>
                <w:szCs w:val="18"/>
                <w:lang w:eastAsia="ru-RU"/>
              </w:rPr>
              <w:t xml:space="preserve"> компания» (90% участие в уставном капитале ООО «ТЭК-</w:t>
            </w:r>
            <w:proofErr w:type="spellStart"/>
            <w:r w:rsidRPr="007170C7">
              <w:rPr>
                <w:rFonts w:ascii="Arial" w:eastAsia="Times New Roman" w:hAnsi="Arial" w:cs="Arial"/>
                <w:sz w:val="18"/>
                <w:szCs w:val="18"/>
                <w:lang w:eastAsia="ru-RU"/>
              </w:rPr>
              <w:t>Энерго</w:t>
            </w:r>
            <w:proofErr w:type="spellEnd"/>
            <w:r w:rsidRPr="007170C7">
              <w:rPr>
                <w:rFonts w:ascii="Arial" w:eastAsia="Times New Roman" w:hAnsi="Arial" w:cs="Arial"/>
                <w:sz w:val="18"/>
                <w:szCs w:val="18"/>
                <w:lang w:eastAsia="ru-RU"/>
              </w:rPr>
              <w:t>») через косвенное участие относится к группе компаний ОАО «Газпром», следовательно, список лиц – акционеров, участников, бенефициаров, в том числе конечных - достаточно объемный. Таким образом, предоставление документов, указанных выше в отношении руководителей, учредителей, участников, акционеров в срок подачи заявок, определенным условиями конкурса представляется затруднительным. Для участия в конкурсе необходим критерий (параметр) прямого или косвенного участия в структуре капитала участника конкурса.</w:t>
            </w:r>
            <w:r w:rsidRPr="007170C7">
              <w:rPr>
                <w:rFonts w:ascii="Arial" w:eastAsia="Times New Roman" w:hAnsi="Arial" w:cs="Arial"/>
                <w:sz w:val="18"/>
                <w:szCs w:val="18"/>
                <w:lang w:eastAsia="ru-RU"/>
              </w:rPr>
              <w:br/>
              <w:t>Кроме того, по определению в соответствии с Федеральным законом от 07.08.2001 N 115-ФЗ (ред. от 31.12.2014) "О противодействии легализации (отмыванию) доходов, полученных преступным путем, и финансированию терроризма""...</w:t>
            </w:r>
            <w:proofErr w:type="spellStart"/>
            <w:r w:rsidRPr="007170C7">
              <w:rPr>
                <w:rFonts w:ascii="Arial" w:eastAsia="Times New Roman" w:hAnsi="Arial" w:cs="Arial"/>
                <w:sz w:val="18"/>
                <w:szCs w:val="18"/>
                <w:lang w:eastAsia="ru-RU"/>
              </w:rPr>
              <w:t>бенефициарный</w:t>
            </w:r>
            <w:proofErr w:type="spellEnd"/>
            <w:r w:rsidRPr="007170C7">
              <w:rPr>
                <w:rFonts w:ascii="Arial" w:eastAsia="Times New Roman" w:hAnsi="Arial" w:cs="Arial"/>
                <w:sz w:val="18"/>
                <w:szCs w:val="18"/>
                <w:lang w:eastAsia="ru-RU"/>
              </w:rPr>
              <w:t xml:space="preserve">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Имея представление о структуре участников ООО «ТЭК-</w:t>
            </w:r>
            <w:proofErr w:type="spellStart"/>
            <w:r w:rsidRPr="007170C7">
              <w:rPr>
                <w:rFonts w:ascii="Arial" w:eastAsia="Times New Roman" w:hAnsi="Arial" w:cs="Arial"/>
                <w:sz w:val="18"/>
                <w:szCs w:val="18"/>
                <w:lang w:eastAsia="ru-RU"/>
              </w:rPr>
              <w:t>Энерго</w:t>
            </w:r>
            <w:proofErr w:type="spellEnd"/>
            <w:r w:rsidRPr="007170C7">
              <w:rPr>
                <w:rFonts w:ascii="Arial" w:eastAsia="Times New Roman" w:hAnsi="Arial" w:cs="Arial"/>
                <w:sz w:val="18"/>
                <w:szCs w:val="18"/>
                <w:lang w:eastAsia="ru-RU"/>
              </w:rPr>
              <w:t>»; акционеров, косвенно владеющих долей уставного капитала ООО «ТЭК-</w:t>
            </w:r>
            <w:proofErr w:type="spellStart"/>
            <w:r w:rsidRPr="007170C7">
              <w:rPr>
                <w:rFonts w:ascii="Arial" w:eastAsia="Times New Roman" w:hAnsi="Arial" w:cs="Arial"/>
                <w:sz w:val="18"/>
                <w:szCs w:val="18"/>
                <w:lang w:eastAsia="ru-RU"/>
              </w:rPr>
              <w:t>Энерго</w:t>
            </w:r>
            <w:proofErr w:type="spellEnd"/>
            <w:r w:rsidRPr="007170C7">
              <w:rPr>
                <w:rFonts w:ascii="Arial" w:eastAsia="Times New Roman" w:hAnsi="Arial" w:cs="Arial"/>
                <w:sz w:val="18"/>
                <w:szCs w:val="18"/>
                <w:lang w:eastAsia="ru-RU"/>
              </w:rPr>
              <w:t>», можно с большой степенью достоверности утверждать, что бенефициаров физических лиц, которые в конечном счете прямо или косвенно (через третьих лиц) владеют (имеет преобладающее участие более 25 процентов в капитале) в структуре собственников ООО «ТЭК-</w:t>
            </w:r>
            <w:proofErr w:type="spellStart"/>
            <w:r w:rsidRPr="007170C7">
              <w:rPr>
                <w:rFonts w:ascii="Arial" w:eastAsia="Times New Roman" w:hAnsi="Arial" w:cs="Arial"/>
                <w:sz w:val="18"/>
                <w:szCs w:val="18"/>
                <w:lang w:eastAsia="ru-RU"/>
              </w:rPr>
              <w:t>Энерго</w:t>
            </w:r>
            <w:proofErr w:type="spellEnd"/>
            <w:r w:rsidRPr="007170C7">
              <w:rPr>
                <w:rFonts w:ascii="Arial" w:eastAsia="Times New Roman" w:hAnsi="Arial" w:cs="Arial"/>
                <w:sz w:val="18"/>
                <w:szCs w:val="18"/>
                <w:lang w:eastAsia="ru-RU"/>
              </w:rPr>
              <w:t>» нет.</w:t>
            </w:r>
            <w:r w:rsidRPr="007170C7">
              <w:rPr>
                <w:rFonts w:ascii="Arial" w:eastAsia="Times New Roman" w:hAnsi="Arial" w:cs="Arial"/>
                <w:sz w:val="18"/>
                <w:szCs w:val="18"/>
                <w:lang w:eastAsia="ru-RU"/>
              </w:rPr>
              <w:br/>
              <w:t>На основании вышеизложенного, прошу Вас разъяснить, какими критериями будут оцениваться полнота, порядок предоставления документов в соответствии с п. 31.8. конкурсной документации, учитывая объемный перечень собственников участника, а также прошу разъяснить какой параметр определения степени прямого или косвенного участия юридических лиц в уставном капитале участника конкурса необходимо использовать при предоставлении информации о структуре собственников участника конкурса.</w:t>
            </w:r>
          </w:p>
        </w:tc>
      </w:tr>
      <w:tr w:rsidR="007170C7" w:rsidRPr="007170C7">
        <w:trPr>
          <w:tblCellSpacing w:w="0" w:type="dxa"/>
        </w:trPr>
        <w:tc>
          <w:tcPr>
            <w:tcW w:w="0" w:type="auto"/>
            <w:shd w:val="clear" w:color="auto" w:fill="E9E9E9"/>
            <w:hideMark/>
          </w:tcPr>
          <w:p w:rsidR="007170C7" w:rsidRPr="007170C7" w:rsidRDefault="007170C7" w:rsidP="007170C7">
            <w:pPr>
              <w:spacing w:after="0" w:line="240" w:lineRule="auto"/>
              <w:rPr>
                <w:rFonts w:ascii="Arial" w:eastAsia="Times New Roman" w:hAnsi="Arial" w:cs="Arial"/>
                <w:sz w:val="18"/>
                <w:szCs w:val="18"/>
                <w:lang w:eastAsia="ru-RU"/>
              </w:rPr>
            </w:pPr>
            <w:hyperlink r:id="rId6" w:history="1">
              <w:r w:rsidRPr="007170C7">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7170C7" w:rsidRPr="007170C7" w:rsidRDefault="007170C7" w:rsidP="007170C7">
            <w:pPr>
              <w:spacing w:after="0" w:line="240" w:lineRule="auto"/>
              <w:jc w:val="right"/>
              <w:rPr>
                <w:rFonts w:ascii="Arial" w:eastAsia="Times New Roman" w:hAnsi="Arial" w:cs="Arial"/>
                <w:sz w:val="18"/>
                <w:szCs w:val="18"/>
                <w:lang w:eastAsia="ru-RU"/>
              </w:rPr>
            </w:pPr>
            <w:hyperlink r:id="rId7" w:tgtFrame="_blank" w:tooltip="Отправить личное сообщение" w:history="1">
              <w:r w:rsidRPr="007170C7">
                <w:rPr>
                  <w:rFonts w:ascii="Arial" w:eastAsia="Times New Roman" w:hAnsi="Arial" w:cs="Arial"/>
                  <w:color w:val="1C50A4"/>
                  <w:sz w:val="18"/>
                  <w:szCs w:val="18"/>
                  <w:lang w:eastAsia="ru-RU"/>
                </w:rPr>
                <w:t xml:space="preserve">Меженина Наталья </w:t>
              </w:r>
              <w:proofErr w:type="gramStart"/>
              <w:r w:rsidRPr="007170C7">
                <w:rPr>
                  <w:rFonts w:ascii="Arial" w:eastAsia="Times New Roman" w:hAnsi="Arial" w:cs="Arial"/>
                  <w:color w:val="1C50A4"/>
                  <w:sz w:val="18"/>
                  <w:szCs w:val="18"/>
                  <w:lang w:eastAsia="ru-RU"/>
                </w:rPr>
                <w:t>Михайловна</w:t>
              </w:r>
            </w:hyperlink>
            <w:r w:rsidRPr="007170C7">
              <w:rPr>
                <w:rFonts w:ascii="Arial" w:eastAsia="Times New Roman" w:hAnsi="Arial" w:cs="Arial"/>
                <w:sz w:val="18"/>
                <w:szCs w:val="18"/>
                <w:lang w:eastAsia="ru-RU"/>
              </w:rPr>
              <w:t>  03.06.2015</w:t>
            </w:r>
            <w:proofErr w:type="gramEnd"/>
            <w:r w:rsidRPr="007170C7">
              <w:rPr>
                <w:rFonts w:ascii="Arial" w:eastAsia="Times New Roman" w:hAnsi="Arial" w:cs="Arial"/>
                <w:sz w:val="18"/>
                <w:szCs w:val="18"/>
                <w:lang w:eastAsia="ru-RU"/>
              </w:rPr>
              <w:t xml:space="preserve"> 08:27</w:t>
            </w:r>
          </w:p>
        </w:tc>
      </w:tr>
      <w:tr w:rsidR="007170C7" w:rsidRPr="007170C7">
        <w:trPr>
          <w:tblCellSpacing w:w="0" w:type="dxa"/>
        </w:trPr>
        <w:tc>
          <w:tcPr>
            <w:tcW w:w="0" w:type="auto"/>
            <w:gridSpan w:val="2"/>
            <w:shd w:val="clear" w:color="auto" w:fill="F7F7F7"/>
            <w:hideMark/>
          </w:tcPr>
          <w:p w:rsidR="007170C7" w:rsidRPr="007170C7" w:rsidRDefault="007170C7" w:rsidP="007170C7">
            <w:pPr>
              <w:spacing w:after="0" w:line="240" w:lineRule="auto"/>
              <w:rPr>
                <w:rFonts w:ascii="Arial" w:eastAsia="Times New Roman" w:hAnsi="Arial" w:cs="Arial"/>
                <w:sz w:val="18"/>
                <w:szCs w:val="18"/>
                <w:lang w:eastAsia="ru-RU"/>
              </w:rPr>
            </w:pPr>
            <w:r w:rsidRPr="007170C7">
              <w:rPr>
                <w:rFonts w:ascii="Arial" w:eastAsia="Times New Roman" w:hAnsi="Arial" w:cs="Arial"/>
                <w:sz w:val="18"/>
                <w:szCs w:val="18"/>
                <w:lang w:eastAsia="ru-RU"/>
              </w:rPr>
              <w:t>Раскрытие сведений в соответствии с п. 31.8. конкурсной документации осуществляется Участниками в отношении всей цепочки собственников до конечного бенефициара. Данные о контрагентах (выгодоприобретателях контрагента) раскрываются до конечного бенефициара-физического лица. При представлении информации в отношении контрагентов, являющихся зарубежными публичными компаниями мирового уровня, публичными акционерными обществами, акции которых котируются на биржах, либо обществами с числом акционеров более 50,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r w:rsidRPr="007170C7">
              <w:rPr>
                <w:rFonts w:ascii="Arial" w:eastAsia="Times New Roman" w:hAnsi="Arial" w:cs="Arial"/>
                <w:sz w:val="18"/>
                <w:szCs w:val="18"/>
                <w:lang w:eastAsia="ru-RU"/>
              </w:rPr>
              <w:br/>
            </w:r>
            <w:r w:rsidRPr="007170C7">
              <w:rPr>
                <w:rFonts w:ascii="Arial" w:eastAsia="Times New Roman" w:hAnsi="Arial" w:cs="Arial"/>
                <w:sz w:val="18"/>
                <w:szCs w:val="18"/>
                <w:lang w:eastAsia="ru-RU"/>
              </w:rPr>
              <w:br/>
              <w:t xml:space="preserve">Условная схема раскрытия структуры собственников выглядит следующим образом: </w:t>
            </w:r>
            <w:r w:rsidRPr="007170C7">
              <w:rPr>
                <w:rFonts w:ascii="Arial" w:eastAsia="Times New Roman" w:hAnsi="Arial" w:cs="Arial"/>
                <w:sz w:val="18"/>
                <w:szCs w:val="18"/>
                <w:lang w:eastAsia="ru-RU"/>
              </w:rPr>
              <w:br/>
              <w:t>1. Участник - Юридическое лицо</w:t>
            </w:r>
            <w:r w:rsidRPr="007170C7">
              <w:rPr>
                <w:rFonts w:ascii="Arial" w:eastAsia="Times New Roman" w:hAnsi="Arial" w:cs="Arial"/>
                <w:sz w:val="18"/>
                <w:szCs w:val="18"/>
                <w:lang w:eastAsia="ru-RU"/>
              </w:rPr>
              <w:br/>
              <w:t xml:space="preserve">1.1. Собственник Участника - Юридическое лицо </w:t>
            </w:r>
            <w:r w:rsidRPr="007170C7">
              <w:rPr>
                <w:rFonts w:ascii="Arial" w:eastAsia="Times New Roman" w:hAnsi="Arial" w:cs="Arial"/>
                <w:sz w:val="18"/>
                <w:szCs w:val="18"/>
                <w:lang w:eastAsia="ru-RU"/>
              </w:rPr>
              <w:br/>
              <w:t xml:space="preserve">1.1.1. Собственник Собственника Участника - Юридическое лицо </w:t>
            </w:r>
            <w:r w:rsidRPr="007170C7">
              <w:rPr>
                <w:rFonts w:ascii="Arial" w:eastAsia="Times New Roman" w:hAnsi="Arial" w:cs="Arial"/>
                <w:sz w:val="18"/>
                <w:szCs w:val="18"/>
                <w:lang w:eastAsia="ru-RU"/>
              </w:rPr>
              <w:br/>
              <w:t>1.1.1.1. Бенефициар - Физическое лицо</w:t>
            </w:r>
            <w:r w:rsidRPr="007170C7">
              <w:rPr>
                <w:rFonts w:ascii="Arial" w:eastAsia="Times New Roman" w:hAnsi="Arial" w:cs="Arial"/>
                <w:sz w:val="18"/>
                <w:szCs w:val="18"/>
                <w:lang w:eastAsia="ru-RU"/>
              </w:rPr>
              <w:br/>
              <w:t xml:space="preserve">Таким образом, в случае если акционером (1.1.) Участника является юридическое лицо (1.1.1), то требуется раскрытие его цепочки его собственников до конечного бенефициара (1.1.1.1). Если же на уровне 1.1.1.1 находится юридическое лицо, то требуется дальнейшее раскрытие структуры собственников вплоть до конечного бенефициара-физического лица и т.д. </w:t>
            </w:r>
            <w:r w:rsidRPr="007170C7">
              <w:rPr>
                <w:rFonts w:ascii="Arial" w:eastAsia="Times New Roman" w:hAnsi="Arial" w:cs="Arial"/>
                <w:sz w:val="18"/>
                <w:szCs w:val="18"/>
                <w:lang w:eastAsia="ru-RU"/>
              </w:rPr>
              <w:br/>
            </w:r>
            <w:r w:rsidRPr="007170C7">
              <w:rPr>
                <w:rFonts w:ascii="Arial" w:eastAsia="Times New Roman" w:hAnsi="Arial" w:cs="Arial"/>
                <w:sz w:val="18"/>
                <w:szCs w:val="18"/>
                <w:lang w:eastAsia="ru-RU"/>
              </w:rPr>
              <w:br/>
              <w:t>Также обращаем Ваше внимание, что ОАО «</w:t>
            </w:r>
            <w:proofErr w:type="spellStart"/>
            <w:r w:rsidRPr="007170C7">
              <w:rPr>
                <w:rFonts w:ascii="Arial" w:eastAsia="Times New Roman" w:hAnsi="Arial" w:cs="Arial"/>
                <w:sz w:val="18"/>
                <w:szCs w:val="18"/>
                <w:lang w:eastAsia="ru-RU"/>
              </w:rPr>
              <w:t>Тюменьэнерго</w:t>
            </w:r>
            <w:proofErr w:type="spellEnd"/>
            <w:r w:rsidRPr="007170C7">
              <w:rPr>
                <w:rFonts w:ascii="Arial" w:eastAsia="Times New Roman" w:hAnsi="Arial" w:cs="Arial"/>
                <w:sz w:val="18"/>
                <w:szCs w:val="18"/>
                <w:lang w:eastAsia="ru-RU"/>
              </w:rPr>
              <w:t xml:space="preserve">» не используется каких-либо дополнительных параметров определения степени прямого или косвенного участия юридических лиц в уставном капитале участника конкурса, так как рассматривается действующая структура собственников Участника, официально подтверждённая Участником представляемыми документами. </w:t>
            </w:r>
            <w:r w:rsidRPr="007170C7">
              <w:rPr>
                <w:rFonts w:ascii="Arial" w:eastAsia="Times New Roman" w:hAnsi="Arial" w:cs="Arial"/>
                <w:sz w:val="18"/>
                <w:szCs w:val="18"/>
                <w:lang w:eastAsia="ru-RU"/>
              </w:rPr>
              <w:br/>
              <w:t xml:space="preserve">Для получения информации при возникновении дополнительных вопросов в части предоставления сведений в отношении всей цепочки собственников, включая бенефициаров (в том числе конечных) Участника/ члена коллективного Участника/ субподрядчика (соисполнителя, субпоставщика) прошу Вас обращаться к </w:t>
            </w:r>
            <w:proofErr w:type="spellStart"/>
            <w:r w:rsidRPr="007170C7">
              <w:rPr>
                <w:rFonts w:ascii="Arial" w:eastAsia="Times New Roman" w:hAnsi="Arial" w:cs="Arial"/>
                <w:sz w:val="18"/>
                <w:szCs w:val="18"/>
                <w:lang w:eastAsia="ru-RU"/>
              </w:rPr>
              <w:t>Моруновой</w:t>
            </w:r>
            <w:proofErr w:type="spellEnd"/>
            <w:r w:rsidRPr="007170C7">
              <w:rPr>
                <w:rFonts w:ascii="Arial" w:eastAsia="Times New Roman" w:hAnsi="Arial" w:cs="Arial"/>
                <w:sz w:val="18"/>
                <w:szCs w:val="18"/>
                <w:lang w:eastAsia="ru-RU"/>
              </w:rPr>
              <w:t xml:space="preserve"> Анне Михайловне, (3462) 77-60-03.</w:t>
            </w:r>
          </w:p>
        </w:tc>
      </w:tr>
    </w:tbl>
    <w:p w:rsidR="00F15BCA" w:rsidRDefault="00F15BCA"/>
    <w:sectPr w:rsidR="00F15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B4"/>
    <w:rsid w:val="000C02B4"/>
    <w:rsid w:val="007170C7"/>
    <w:rsid w:val="00F15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A1DC0-ABBF-4EB9-9649-7F7F2B81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735701">
      <w:bodyDiv w:val="1"/>
      <w:marLeft w:val="0"/>
      <w:marRight w:val="0"/>
      <w:marTop w:val="0"/>
      <w:marBottom w:val="0"/>
      <w:divBdr>
        <w:top w:val="none" w:sz="0" w:space="0" w:color="auto"/>
        <w:left w:val="none" w:sz="0" w:space="0" w:color="auto"/>
        <w:bottom w:val="none" w:sz="0" w:space="0" w:color="auto"/>
        <w:right w:val="none" w:sz="0" w:space="0" w:color="auto"/>
      </w:divBdr>
      <w:divsChild>
        <w:div w:id="911086481">
          <w:marLeft w:val="0"/>
          <w:marRight w:val="0"/>
          <w:marTop w:val="0"/>
          <w:marBottom w:val="0"/>
          <w:divBdr>
            <w:top w:val="none" w:sz="0" w:space="0" w:color="auto"/>
            <w:left w:val="none" w:sz="0" w:space="0" w:color="auto"/>
            <w:bottom w:val="none" w:sz="0" w:space="0" w:color="auto"/>
            <w:right w:val="none" w:sz="0" w:space="0" w:color="auto"/>
          </w:divBdr>
          <w:divsChild>
            <w:div w:id="1623611593">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view_tender.html?id=45286&amp;action=explanation" TargetMode="External"/><Relationship Id="rId5" Type="http://schemas.openxmlformats.org/officeDocument/2006/relationships/hyperlink" Target="http://www.b2b-mrsk.ru/firms/view_firm.html?id=175153" TargetMode="External"/><Relationship Id="rId4" Type="http://schemas.openxmlformats.org/officeDocument/2006/relationships/hyperlink" Target="http://www.b2b-mrsk.ru/popups/send_message.html?action=send&amp;to=20312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2015-06-03T05:28:00Z</dcterms:created>
  <dcterms:modified xsi:type="dcterms:W3CDTF">2015-06-03T05:28:00Z</dcterms:modified>
</cp:coreProperties>
</file>