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3C4" w:rsidRDefault="002A13C4"/>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143"/>
        <w:gridCol w:w="212"/>
      </w:tblGrid>
      <w:tr w:rsidR="002A13C4" w:rsidRPr="00B93907" w:rsidTr="00202CCF">
        <w:trPr>
          <w:tblCellSpacing w:w="0" w:type="dxa"/>
        </w:trPr>
        <w:tc>
          <w:tcPr>
            <w:tcW w:w="4950" w:type="pct"/>
            <w:shd w:val="clear" w:color="auto" w:fill="E9E9E9"/>
            <w:hideMark/>
          </w:tcPr>
          <w:p w:rsidR="002A13C4" w:rsidRPr="00B93907" w:rsidRDefault="002A13C4" w:rsidP="00202CCF">
            <w:pPr>
              <w:spacing w:after="0" w:line="240" w:lineRule="auto"/>
              <w:rPr>
                <w:rFonts w:ascii="Arial" w:eastAsia="Times New Roman" w:hAnsi="Arial" w:cs="Arial"/>
                <w:lang w:eastAsia="ru-RU"/>
              </w:rPr>
            </w:pPr>
            <w:proofErr w:type="gramStart"/>
            <w:r w:rsidRPr="00B93907">
              <w:rPr>
                <w:rFonts w:ascii="Arial" w:eastAsia="Times New Roman" w:hAnsi="Arial" w:cs="Arial"/>
                <w:b/>
                <w:bCs/>
                <w:lang w:eastAsia="ru-RU"/>
              </w:rPr>
              <w:t>Вопрос:</w:t>
            </w:r>
            <w:r w:rsidRPr="00B93907">
              <w:rPr>
                <w:rFonts w:ascii="Arial" w:eastAsia="Times New Roman" w:hAnsi="Arial" w:cs="Arial"/>
                <w:lang w:eastAsia="ru-RU"/>
              </w:rPr>
              <w:t xml:space="preserve">   </w:t>
            </w:r>
            <w:proofErr w:type="gramEnd"/>
          </w:p>
        </w:tc>
        <w:tc>
          <w:tcPr>
            <w:tcW w:w="0" w:type="auto"/>
            <w:shd w:val="clear" w:color="auto" w:fill="E9E9E9"/>
            <w:noWrap/>
            <w:hideMark/>
          </w:tcPr>
          <w:p w:rsidR="002A13C4" w:rsidRPr="00B93907" w:rsidRDefault="002A13C4" w:rsidP="002A13C4">
            <w:pPr>
              <w:spacing w:after="0" w:line="240" w:lineRule="auto"/>
              <w:jc w:val="right"/>
              <w:rPr>
                <w:rFonts w:ascii="Arial" w:eastAsia="Times New Roman" w:hAnsi="Arial" w:cs="Arial"/>
                <w:lang w:eastAsia="ru-RU"/>
              </w:rPr>
            </w:pPr>
            <w:r w:rsidRPr="00B93907">
              <w:rPr>
                <w:rFonts w:ascii="Arial" w:eastAsia="Times New Roman" w:hAnsi="Arial" w:cs="Arial"/>
                <w:lang w:eastAsia="ru-RU"/>
              </w:rPr>
              <w:t xml:space="preserve">  </w:t>
            </w:r>
          </w:p>
        </w:tc>
      </w:tr>
      <w:tr w:rsidR="002A13C4" w:rsidRPr="00B93907" w:rsidTr="00202CCF">
        <w:trPr>
          <w:tblCellSpacing w:w="0" w:type="dxa"/>
        </w:trPr>
        <w:tc>
          <w:tcPr>
            <w:tcW w:w="0" w:type="auto"/>
            <w:gridSpan w:val="2"/>
            <w:shd w:val="clear" w:color="auto" w:fill="F7F7F7"/>
            <w:hideMark/>
          </w:tcPr>
          <w:p w:rsidR="002A13C4" w:rsidRPr="00B93907" w:rsidRDefault="002A13C4" w:rsidP="00202CCF">
            <w:pPr>
              <w:spacing w:after="0" w:line="240" w:lineRule="auto"/>
              <w:rPr>
                <w:rFonts w:ascii="Arial" w:eastAsia="Times New Roman" w:hAnsi="Arial" w:cs="Arial"/>
                <w:lang w:eastAsia="ru-RU"/>
              </w:rPr>
            </w:pPr>
            <w:r>
              <w:t>Добрый день, наша компания планировала принять участие в данном запросе цен, но при детальном рассмотрении технического задания выяснилось, что бюджет, определенный на данный запрос цен, не соответствует реальной стоимости спецификации. Фактическая стоимость спецификации при текущем курсе доллара составляет 13 556 000 р. Просим Вас рассмотреть возможность увеличения бюджета по данному запросу цен.</w:t>
            </w:r>
          </w:p>
        </w:tc>
      </w:tr>
      <w:tr w:rsidR="002A13C4" w:rsidRPr="00B93907" w:rsidTr="00202CCF">
        <w:trPr>
          <w:tblCellSpacing w:w="0" w:type="dxa"/>
        </w:trPr>
        <w:tc>
          <w:tcPr>
            <w:tcW w:w="0" w:type="auto"/>
            <w:shd w:val="clear" w:color="auto" w:fill="E9E9E9"/>
            <w:hideMark/>
          </w:tcPr>
          <w:p w:rsidR="002A13C4" w:rsidRPr="00B93907" w:rsidRDefault="002A13C4" w:rsidP="002A13C4">
            <w:pPr>
              <w:spacing w:after="0" w:line="240" w:lineRule="auto"/>
              <w:rPr>
                <w:rFonts w:ascii="Arial" w:eastAsia="Times New Roman" w:hAnsi="Arial" w:cs="Arial"/>
                <w:lang w:eastAsia="ru-RU"/>
              </w:rPr>
            </w:pPr>
            <w:hyperlink r:id="rId4" w:history="1">
              <w:r>
                <w:rPr>
                  <w:rFonts w:ascii="Arial" w:eastAsia="Times New Roman" w:hAnsi="Arial" w:cs="Arial"/>
                  <w:b/>
                  <w:bCs/>
                  <w:color w:val="1C50A4"/>
                  <w:lang w:eastAsia="ru-RU"/>
                </w:rPr>
                <w:t>О</w:t>
              </w:r>
              <w:r w:rsidRPr="00B93907">
                <w:rPr>
                  <w:rFonts w:ascii="Arial" w:eastAsia="Times New Roman" w:hAnsi="Arial" w:cs="Arial"/>
                  <w:b/>
                  <w:bCs/>
                  <w:color w:val="1C50A4"/>
                  <w:lang w:eastAsia="ru-RU"/>
                </w:rPr>
                <w:t>твет:</w:t>
              </w:r>
            </w:hyperlink>
          </w:p>
        </w:tc>
        <w:tc>
          <w:tcPr>
            <w:tcW w:w="0" w:type="auto"/>
            <w:shd w:val="clear" w:color="auto" w:fill="E9E9E9"/>
            <w:noWrap/>
            <w:hideMark/>
          </w:tcPr>
          <w:p w:rsidR="002A13C4" w:rsidRPr="00B93907" w:rsidRDefault="002A13C4" w:rsidP="00202CCF">
            <w:pPr>
              <w:spacing w:after="0" w:line="240" w:lineRule="auto"/>
              <w:jc w:val="right"/>
              <w:rPr>
                <w:rFonts w:ascii="Arial" w:eastAsia="Times New Roman" w:hAnsi="Arial" w:cs="Arial"/>
                <w:lang w:eastAsia="ru-RU"/>
              </w:rPr>
            </w:pPr>
          </w:p>
        </w:tc>
      </w:tr>
      <w:tr w:rsidR="002A13C4" w:rsidRPr="00B93907" w:rsidTr="00202CCF">
        <w:trPr>
          <w:tblCellSpacing w:w="0" w:type="dxa"/>
        </w:trPr>
        <w:tc>
          <w:tcPr>
            <w:tcW w:w="0" w:type="auto"/>
            <w:gridSpan w:val="2"/>
            <w:shd w:val="clear" w:color="auto" w:fill="F7F7F7"/>
            <w:hideMark/>
          </w:tcPr>
          <w:p w:rsidR="002A13C4" w:rsidRPr="00B93907" w:rsidRDefault="002A13C4" w:rsidP="00202CCF">
            <w:pPr>
              <w:spacing w:after="0" w:line="240" w:lineRule="auto"/>
              <w:rPr>
                <w:rFonts w:ascii="Arial" w:eastAsia="Times New Roman" w:hAnsi="Arial" w:cs="Arial"/>
                <w:lang w:eastAsia="ru-RU"/>
              </w:rPr>
            </w:pPr>
            <w:bookmarkStart w:id="0" w:name="_GoBack"/>
            <w:r w:rsidRPr="002A13C4">
              <w:t>Предельная стоимость закупки по Открытому запросу цен на право заключения договора на приобретение серверного оборудования для системы контроля над утечками данных в ОАО «Тюменьэнерго»</w:t>
            </w:r>
            <w:r>
              <w:t xml:space="preserve"> </w:t>
            </w:r>
            <w:r w:rsidRPr="002A13C4">
              <w:t>основывается на среднерыночной стоимости указанного в запросе перечня оборудования. Увеличение бюджета по данному запросу цен не предусмотрено.</w:t>
            </w:r>
            <w:bookmarkEnd w:id="0"/>
          </w:p>
        </w:tc>
      </w:tr>
    </w:tbl>
    <w:p w:rsidR="002A13C4" w:rsidRDefault="002A13C4" w:rsidP="002A13C4"/>
    <w:p w:rsidR="002A13C4" w:rsidRDefault="002A13C4"/>
    <w:sectPr w:rsidR="002A1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DA"/>
    <w:rsid w:val="0001634B"/>
    <w:rsid w:val="002A13C4"/>
    <w:rsid w:val="004F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1E0C5-B372-44E4-A5E5-ACB9E882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2b-mrsk.ru/market/view.html?id=528895&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719</Characters>
  <Application>Microsoft Office Word</Application>
  <DocSecurity>0</DocSecurity>
  <Lines>5</Lines>
  <Paragraphs>1</Paragraphs>
  <ScaleCrop>false</ScaleCrop>
  <Company>Hewlett-Packard Company</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2015-07-07T12:05:00Z</dcterms:created>
  <dcterms:modified xsi:type="dcterms:W3CDTF">2015-07-07T12:08:00Z</dcterms:modified>
</cp:coreProperties>
</file>