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55" w:rsidRDefault="001654D2" w:rsidP="00484427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Исследования по оценке удовлетвор</w:t>
      </w:r>
      <w:r w:rsidR="00484427">
        <w:rPr>
          <w:rFonts w:ascii="Times New Roman" w:hAnsi="Times New Roman" w:cs="Times New Roman"/>
          <w:b/>
        </w:rPr>
        <w:t>ё</w:t>
      </w:r>
      <w:r>
        <w:rPr>
          <w:rFonts w:ascii="Times New Roman" w:hAnsi="Times New Roman" w:cs="Times New Roman"/>
          <w:b/>
        </w:rPr>
        <w:t xml:space="preserve">нности потребителей </w:t>
      </w:r>
    </w:p>
    <w:p w:rsidR="000B1755" w:rsidRDefault="001654D2" w:rsidP="00484427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качеством услуг и обслуживания</w:t>
      </w:r>
      <w:r w:rsidR="00597071">
        <w:rPr>
          <w:rFonts w:ascii="Times New Roman" w:hAnsi="Times New Roman" w:cs="Times New Roman"/>
          <w:b/>
        </w:rPr>
        <w:t xml:space="preserve"> за 2019 год</w:t>
      </w: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71">
        <w:rPr>
          <w:rFonts w:ascii="Times New Roman" w:eastAsia="Times New Roman" w:hAnsi="Times New Roman" w:cs="Times New Roman"/>
          <w:sz w:val="24"/>
          <w:szCs w:val="24"/>
        </w:rPr>
        <w:t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во всех филиалах Общества ежегодно проводится анкетирование потребителей. Регулярное анкетирование потребителей услуг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</w: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В опросе участвуют потребители услуг – юридические лица, анкеты которым направляются по почте. В 2019 году приняли участие 1576 потребителей услуг, что составило 71% от общего числа потребителей – юридических лиц АО «Россети Тюмень». </w:t>
      </w: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071" w:rsidRPr="00597071" w:rsidRDefault="00597071" w:rsidP="005970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9707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Итоги анкетирования потребителей по годам</w:t>
      </w:r>
    </w:p>
    <w:p w:rsidR="00597071" w:rsidRPr="00597071" w:rsidRDefault="00597071" w:rsidP="005970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1"/>
        <w:gridCol w:w="1618"/>
        <w:gridCol w:w="1473"/>
        <w:gridCol w:w="1820"/>
        <w:gridCol w:w="1966"/>
        <w:gridCol w:w="1648"/>
      </w:tblGrid>
      <w:tr w:rsidR="00597071" w:rsidRPr="00597071" w:rsidTr="00597071">
        <w:trPr>
          <w:trHeight w:val="55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Количество удовлетворённых потребителей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Доля удовлетворённости качеством услуг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597071" w:rsidRPr="00597071" w:rsidRDefault="00597071" w:rsidP="0059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</w:pPr>
            <w:r w:rsidRPr="00597071">
              <w:rPr>
                <w:rFonts w:ascii="TimesNewRomanPS-BoldMT" w:eastAsia="Times New Roman" w:hAnsi="TimesNewRomanPS-BoldMT" w:cs="TimesNewRomanPS-BoldMT"/>
                <w:b/>
                <w:bCs/>
                <w:sz w:val="20"/>
                <w:szCs w:val="20"/>
              </w:rPr>
              <w:t>Рост удовлетворённости</w:t>
            </w:r>
          </w:p>
        </w:tc>
      </w:tr>
      <w:tr w:rsidR="00597071" w:rsidRPr="00597071" w:rsidTr="00607E70">
        <w:trPr>
          <w:trHeight w:hRule="exact" w:val="30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97,2%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2,8%</w:t>
            </w:r>
          </w:p>
        </w:tc>
      </w:tr>
      <w:tr w:rsidR="00597071" w:rsidRPr="00597071" w:rsidTr="00607E70">
        <w:trPr>
          <w:trHeight w:hRule="exact" w:val="28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97071" w:rsidRPr="00597071" w:rsidRDefault="00597071" w:rsidP="0059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7071" w:rsidRPr="00597071" w:rsidRDefault="00597071" w:rsidP="0059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7071" w:rsidRPr="00597071" w:rsidRDefault="00597071" w:rsidP="00597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 w:rsidRPr="00597071">
        <w:rPr>
          <w:rFonts w:ascii="Times New Roman" w:eastAsia="Times New Roman" w:hAnsi="Times New Roman" w:cs="Times New Roman"/>
          <w:sz w:val="24"/>
          <w:szCs w:val="24"/>
        </w:rPr>
        <w:t>Качество обслуживания, по мнению респондентов, находится на высоком уровне: 100% довольны сервисом предоставления услуг в целом, что выше аналогичного показателя предыдущего год</w:t>
      </w:r>
      <w:r w:rsidRPr="00597071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597071">
        <w:rPr>
          <w:rFonts w:ascii="Times New Roman" w:eastAsia="Times New Roman" w:hAnsi="Times New Roman" w:cs="Times New Roman"/>
          <w:sz w:val="24"/>
          <w:szCs w:val="24"/>
        </w:rPr>
        <w:t xml:space="preserve"> на 2,8%. В ходе анкетирования был выявлен уровень информированности клиентов о сервисах самообслуживания: 91% опрашиваемых граждан-потребителей знают о сервисе «Личный кабинет» на сайте компании и почти 88% информированы о функционировании Контакт-центра и телефона доверия. </w:t>
      </w:r>
      <w:r w:rsidRPr="00597071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Большинство клиентов (86% опрошенных) получают своевременные предупреждения об отключениях электроэнергии и знают, куда обращаться в различных ситуациях. </w:t>
      </w:r>
    </w:p>
    <w:p w:rsidR="000B1755" w:rsidRDefault="000B1755" w:rsidP="00484427">
      <w:pPr>
        <w:spacing w:after="20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0B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55"/>
    <w:rsid w:val="000B1755"/>
    <w:rsid w:val="001654D2"/>
    <w:rsid w:val="001B5E48"/>
    <w:rsid w:val="002F7A23"/>
    <w:rsid w:val="00484427"/>
    <w:rsid w:val="00597071"/>
    <w:rsid w:val="007D3E00"/>
    <w:rsid w:val="00881F0C"/>
    <w:rsid w:val="008E7CFC"/>
    <w:rsid w:val="00AF6704"/>
    <w:rsid w:val="00BA47BC"/>
    <w:rsid w:val="00D5417A"/>
    <w:rsid w:val="00DC2C5C"/>
    <w:rsid w:val="00E0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4AEE-9758-4FD0-9371-13D3CFC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a6">
    <w:name w:val="РИСУНОК"/>
    <w:basedOn w:val="a"/>
    <w:next w:val="a"/>
    <w:qFormat/>
    <w:rsid w:val="001654D2"/>
    <w:pPr>
      <w:tabs>
        <w:tab w:val="left" w:pos="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43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Ксения Борисовна</dc:creator>
  <cp:keywords/>
  <dc:description/>
  <cp:lastModifiedBy>Щепин Данил Александрович</cp:lastModifiedBy>
  <cp:revision>3</cp:revision>
  <dcterms:created xsi:type="dcterms:W3CDTF">2020-02-26T06:00:00Z</dcterms:created>
  <dcterms:modified xsi:type="dcterms:W3CDTF">2020-02-28T08:54:00Z</dcterms:modified>
</cp:coreProperties>
</file>