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0E4C" w:rsidRPr="00470E4C" w:rsidRDefault="00470E4C" w:rsidP="00470E4C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</w:pPr>
      <w:r w:rsidRPr="00470E4C">
        <w:rPr>
          <w:rFonts w:ascii="Arial" w:eastAsia="Times New Roman" w:hAnsi="Arial" w:cs="Arial"/>
          <w:color w:val="333333"/>
          <w:kern w:val="36"/>
          <w:sz w:val="21"/>
          <w:szCs w:val="21"/>
          <w:lang w:eastAsia="ru-RU"/>
        </w:rPr>
        <w:t>Конкурс (тендер) № 30068 </w:t>
      </w:r>
      <w:r w:rsidRPr="00470E4C">
        <w:rPr>
          <w:rFonts w:ascii="Arial" w:eastAsia="Times New Roman" w:hAnsi="Arial" w:cs="Arial"/>
          <w:color w:val="A0A0A0"/>
          <w:kern w:val="36"/>
          <w:sz w:val="16"/>
          <w:lang w:eastAsia="ru-RU"/>
        </w:rPr>
        <w:t>(вскрытие конвертов 23.05.2012 в 08:00)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9355"/>
      </w:tblGrid>
      <w:tr w:rsidR="00470E4C" w:rsidRPr="00470E4C">
        <w:trPr>
          <w:tblCellSpacing w:w="0" w:type="dxa"/>
        </w:trPr>
        <w:tc>
          <w:tcPr>
            <w:tcW w:w="0" w:type="auto"/>
            <w:hideMark/>
          </w:tcPr>
          <w:p w:rsidR="00470E4C" w:rsidRPr="00470E4C" w:rsidRDefault="00470E4C" w:rsidP="00470E4C">
            <w:pPr>
              <w:shd w:val="clear" w:color="auto" w:fill="FBCB00"/>
              <w:spacing w:after="19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</w:pPr>
            <w:r w:rsidRPr="00470E4C">
              <w:rPr>
                <w:rFonts w:ascii="Arial" w:eastAsia="Times New Roman" w:hAnsi="Arial" w:cs="Arial"/>
                <w:color w:val="000000"/>
                <w:sz w:val="14"/>
                <w:szCs w:val="14"/>
                <w:lang w:eastAsia="ru-RU"/>
              </w:rPr>
              <w:t>Извещение</w:t>
            </w:r>
          </w:p>
          <w:p w:rsidR="00470E4C" w:rsidRPr="00470E4C" w:rsidRDefault="00470E4C" w:rsidP="00470E4C">
            <w:pPr>
              <w:shd w:val="clear" w:color="auto" w:fill="D5DADB"/>
              <w:spacing w:after="1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4" w:history="1">
              <w:r w:rsidRPr="00470E4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Запросы разъяснений</w:t>
              </w:r>
            </w:hyperlink>
            <w:r w:rsidRPr="00470E4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70E4C" w:rsidRPr="00470E4C" w:rsidRDefault="00470E4C" w:rsidP="00470E4C">
            <w:pPr>
              <w:shd w:val="clear" w:color="auto" w:fill="D5DADB"/>
              <w:spacing w:after="1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5" w:history="1">
              <w:r w:rsidRPr="00470E4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Претенденты</w:t>
              </w:r>
            </w:hyperlink>
            <w:r w:rsidRPr="00470E4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 - 0</w:t>
            </w:r>
          </w:p>
          <w:p w:rsidR="00470E4C" w:rsidRPr="00470E4C" w:rsidRDefault="00470E4C" w:rsidP="00470E4C">
            <w:pPr>
              <w:shd w:val="clear" w:color="auto" w:fill="D5DADB"/>
              <w:spacing w:after="19" w:line="240" w:lineRule="auto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6" w:history="1">
              <w:r w:rsidRPr="00470E4C">
                <w:rPr>
                  <w:rFonts w:ascii="Arial" w:eastAsia="Times New Roman" w:hAnsi="Arial" w:cs="Arial"/>
                  <w:color w:val="333333"/>
                  <w:sz w:val="14"/>
                  <w:szCs w:val="14"/>
                  <w:u w:val="single"/>
                  <w:bdr w:val="none" w:sz="0" w:space="0" w:color="auto" w:frame="1"/>
                  <w:lang w:eastAsia="ru-RU"/>
                </w:rPr>
                <w:t>Статистика посещений</w:t>
              </w:r>
            </w:hyperlink>
          </w:p>
        </w:tc>
      </w:tr>
    </w:tbl>
    <w:p w:rsidR="00470E4C" w:rsidRPr="00470E4C" w:rsidRDefault="00470E4C" w:rsidP="00470E4C">
      <w:pPr>
        <w:spacing w:after="0" w:line="240" w:lineRule="auto"/>
        <w:rPr>
          <w:rFonts w:ascii="Arial" w:eastAsia="Times New Roman" w:hAnsi="Arial" w:cs="Arial"/>
          <w:sz w:val="14"/>
          <w:szCs w:val="14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477"/>
      </w:tblGrid>
      <w:tr w:rsidR="00470E4C" w:rsidRPr="00470E4C">
        <w:trPr>
          <w:tblCellSpacing w:w="7" w:type="dxa"/>
        </w:trPr>
        <w:tc>
          <w:tcPr>
            <w:tcW w:w="0" w:type="auto"/>
            <w:shd w:val="clear" w:color="auto" w:fill="C2C9CD"/>
            <w:tcMar>
              <w:top w:w="47" w:type="dxa"/>
              <w:left w:w="47" w:type="dxa"/>
              <w:bottom w:w="47" w:type="dxa"/>
              <w:right w:w="47" w:type="dxa"/>
            </w:tcMar>
            <w:hideMark/>
          </w:tcPr>
          <w:p w:rsidR="00470E4C" w:rsidRPr="00470E4C" w:rsidRDefault="00470E4C" w:rsidP="00470E4C">
            <w:pPr>
              <w:shd w:val="clear" w:color="auto" w:fill="C2C9CD"/>
              <w:spacing w:after="0" w:line="288" w:lineRule="auto"/>
              <w:outlineLvl w:val="2"/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</w:pPr>
            <w:hyperlink r:id="rId7" w:history="1">
              <w:r w:rsidRPr="00470E4C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Открытое Акционерное Общество энергетики и электрификации "</w:t>
              </w:r>
              <w:proofErr w:type="spellStart"/>
              <w:r w:rsidRPr="00470E4C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Тюменьэнерго</w:t>
              </w:r>
              <w:proofErr w:type="spellEnd"/>
              <w:r w:rsidRPr="00470E4C">
                <w:rPr>
                  <w:rFonts w:ascii="Arial" w:eastAsia="Times New Roman" w:hAnsi="Arial" w:cs="Arial"/>
                  <w:b/>
                  <w:bCs/>
                  <w:color w:val="1C50A4"/>
                  <w:sz w:val="14"/>
                  <w:szCs w:val="14"/>
                  <w:lang w:eastAsia="ru-RU"/>
                </w:rPr>
                <w:t>"</w:t>
              </w:r>
            </w:hyperlink>
            <w:r w:rsidRPr="00470E4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, 628406, Россия, </w:t>
            </w:r>
            <w:proofErr w:type="gramStart"/>
            <w:r w:rsidRPr="00470E4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г</w:t>
            </w:r>
            <w:proofErr w:type="gramEnd"/>
            <w:r w:rsidRPr="00470E4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. Сургут, Тюменская область, </w:t>
            </w:r>
            <w:proofErr w:type="spellStart"/>
            <w:r w:rsidRPr="00470E4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ХМАО-Югра</w:t>
            </w:r>
            <w:proofErr w:type="spellEnd"/>
            <w:r w:rsidRPr="00470E4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 xml:space="preserve">, ул. Университетская, д.4, </w:t>
            </w:r>
            <w:r w:rsidRPr="00470E4C">
              <w:rPr>
                <w:rFonts w:ascii="Arial" w:eastAsia="Times New Roman" w:hAnsi="Arial" w:cs="Arial"/>
                <w:b/>
                <w:bCs/>
                <w:color w:val="333333"/>
                <w:sz w:val="14"/>
                <w:szCs w:val="14"/>
                <w:lang w:eastAsia="ru-RU"/>
              </w:rPr>
              <w:t>приглашает принять участие в торгах (тендере)</w:t>
            </w:r>
            <w:r w:rsidRPr="00470E4C">
              <w:rPr>
                <w:rFonts w:ascii="Arial" w:eastAsia="Times New Roman" w:hAnsi="Arial" w:cs="Arial"/>
                <w:color w:val="333333"/>
                <w:sz w:val="14"/>
                <w:szCs w:val="14"/>
                <w:lang w:eastAsia="ru-RU"/>
              </w:rPr>
              <w:t>.</w:t>
            </w:r>
          </w:p>
        </w:tc>
      </w:tr>
      <w:tr w:rsidR="00470E4C" w:rsidRPr="00470E4C">
        <w:trPr>
          <w:tblCellSpacing w:w="7" w:type="dxa"/>
        </w:trPr>
        <w:tc>
          <w:tcPr>
            <w:tcW w:w="0" w:type="auto"/>
            <w:shd w:val="clear" w:color="auto" w:fill="E9E9E9"/>
            <w:hideMark/>
          </w:tcPr>
          <w:tbl>
            <w:tblPr>
              <w:tblW w:w="5000" w:type="pct"/>
              <w:tblCellSpacing w:w="0" w:type="dxa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1876"/>
              <w:gridCol w:w="7573"/>
            </w:tblGrid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Предмет конкурса (тендера):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Открытый одноэтапный конкурс без предварительного отбора на право заключения Договора на выполнение работ по реконструкции ПС 110/35/6 кВ КНС-23 с заменой ОД, КЗ 110 кВ на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элегазовые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выключатели 110 кВ в количестве 2 шт. филиала ОАО «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r w:rsidRPr="00470E4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Лот № 1.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Выполнение работ по реконструкции ПС 110/35/6 кВ КНС-23 с заменой ОД, КЗ 110 кВ на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элегазовые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выключатели 110 кВ в количестве 2 шт. филиала ОАО «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»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Нижневартовские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электрические сети (ОАО "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")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Категории классификатора:</w:t>
                  </w:r>
                </w:p>
              </w:tc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8" w:history="1">
                    <w:r w:rsidRPr="00470E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Выключатели, контакторы и реверсоры переменного тока высокого напряжения напряжением от 66 до 132 кВ</w:t>
                    </w:r>
                  </w:hyperlink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9" w:history="1">
                    <w:r w:rsidRPr="00470E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Подстанция электрическая</w:t>
                    </w:r>
                  </w:hyperlink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hyperlink r:id="rId10" w:history="1">
                    <w:r w:rsidRPr="00470E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Реконструкция действующих предприятий (переустройство)</w:t>
                    </w:r>
                  </w:hyperlink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 (тендер) объявлен: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20.04.2012 09:43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Сроки поставки:</w:t>
                  </w:r>
                </w:p>
              </w:tc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22.06.2012 - 30.12.2012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комиссия: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proofErr w:type="gram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Назначена</w:t>
                  </w:r>
                  <w:proofErr w:type="gram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приказом ОАО "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" от 13.02.2012 № 63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Контактное лицо:</w:t>
                  </w:r>
                </w:p>
              </w:tc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1" w:tgtFrame="_blank" w:tooltip="Отправить личное сообщение" w:history="1">
                    <w:r w:rsidRPr="00470E4C">
                      <w:rPr>
                        <w:rFonts w:ascii="Arial" w:eastAsia="Times New Roman" w:hAnsi="Arial" w:cs="Arial"/>
                        <w:color w:val="1C50A4"/>
                        <w:sz w:val="14"/>
                        <w:lang w:eastAsia="ru-RU"/>
                      </w:rPr>
                      <w:t>Меженина Наталья Михайловна</w:t>
                    </w:r>
                  </w:hyperlink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тел.+7 (3462) 77-64-77, </w:t>
                  </w:r>
                  <w:hyperlink r:id="rId12" w:history="1">
                    <w:r w:rsidRPr="00470E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MezheninaN@id.te.ru</w:t>
                    </w:r>
                  </w:hyperlink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Требования к участникам: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Участник конкурса должен обладать гражданской правоспособностью в полном объеме для заключения и исполнения Договора; 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Участнику конкурса желательно иметь опыт выполнения аналогичных работ не менее 3-х лет в сопоставимых с предметом закупки объемах и положительную репутацию, подтвержденную отзывами о выполнении аналогичных договоров;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Участник должен обладать необходимыми кадровыми ресурсами: Персонал (основных рабочих специальностей) в бригадах: электромонтажники - 3 чел., сварщик 3-6 разряда -1 чел., рабочие строительных специальностей 3-6 разряда - 2 чел., наладчики РЗА - 2 чел., специалисты </w:t>
                  </w:r>
                  <w:proofErr w:type="gram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ИТ</w:t>
                  </w:r>
                  <w:proofErr w:type="gram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- 2 чел.;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должен обладать необходимыми материально-техническими ресурсами: автокран г/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до 16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тн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-1 ед., вахтовый автобус - 1 ед., автомобиль грузовой различного назначения г/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5-10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тн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. - 1 ед., сварочный агрегат - 1 ед., комплект инструмента и такелажа для демонтажа и монтажа оборудования; 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конкурса не должен являться неплатежеспособным или банкротом (безубыточность за последний завершенный год и квартал), находиться в процессе ликвидации, на имущество Участника в части, существенной для исполнения договора, не должен быть наложен арест, экономическая деятельность Участника не должна быть приостановлена;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Участник конкурса должен дать согласие на проведение проверки благонадежности Службой экономической безопасности ОАО «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 (СЭБ ОАО «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Тюменьэнерго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»). Результат проверки благонадежности Участника конкурса оформляется заключением СЭБ Организатора конкурса и оспариванию не подлежит. В отношении Участника конкурса должно быть получено положительное заключение СЭБ Организатора Конкурса;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Техническое и коммерческое предложения должны соответствовать требованиям Заказчика;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Участник конкурса не должен быть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аффилированным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с Организатором (Заказчиком);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Участник не должен быть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аффилированным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 другим Участникам;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</w:r>
                  <w:proofErr w:type="gram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Отсутствие сведений об участнике закупки и привлекаемых им субподрядчиков в реестре недобросовестных поставщиков, предусмотренном статьей 5 Федерального закона от 18.07.2011г. № 223-ФЗ "О закупках товаров, работ, услуг отдельными видами юридических лиц", и в реестре недобросовестных поставщиков, предусмотренном Федеральным законом от 21 июля 2005 года N 94-ФЗ "О размещении заказов на поставки товаров, выполнение работ, оказание услуг для государственных и муниципальных</w:t>
                  </w:r>
                  <w:proofErr w:type="gram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нужд";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Персонал Участника должен пройти </w:t>
                  </w:r>
                  <w:proofErr w:type="gram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обучение по безопасности</w:t>
                  </w:r>
                  <w:proofErr w:type="gram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труда, проверку знаний общих требований промышленной безопасности, иметь группу по ЭБ и СИЗ для выполнения работ по договору.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Более подробные требования к Участникам, а также требования к порядку подтверждения соответствия этим требованиям, содержатся в Конкурсной документации.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Комплект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Конкурсную документацию Участники могут получить через электронную торговую площадку - http://www.b2b-MRSK.ru/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Информация о закупке также размещена на сайте Заказчика по адресу: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www.te.ru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в разделе «Закупки» и доступна для ознакомления без взимания платы.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Конкурсная документация: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3" w:tgtFrame="_blank" w:history="1">
                    <w:r w:rsidRPr="00470E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Скачать файл </w:t>
                    </w:r>
                    <w:proofErr w:type="spellStart"/>
                    <w:r w:rsidRPr="00470E4C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4"/>
                        <w:szCs w:val="14"/>
                        <w:lang w:eastAsia="ru-RU"/>
                      </w:rPr>
                      <w:t>КД.zip</w:t>
                    </w:r>
                    <w:proofErr w:type="spellEnd"/>
                  </w:hyperlink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 (7.1 Мб)</w:t>
                  </w:r>
                </w:p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4" w:tgtFrame="signature" w:history="1">
                    <w:r w:rsidRPr="00470E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Подписана ЭЦП</w:t>
                    </w:r>
                  </w:hyperlink>
                </w:p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5" w:history="1">
                    <w:r w:rsidRPr="00470E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Перевести документацию на другой язык</w:t>
                    </w:r>
                  </w:hyperlink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Порядок предоставления конкурсной документации:</w:t>
                  </w:r>
                </w:p>
              </w:tc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Конкурсная документация предоставляется без взимания платы в форме электронного документа на сайте системы электронных торгов группы B2B-Center (www.b2b-center.ru), начиная </w:t>
                  </w:r>
                  <w:proofErr w:type="gram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 даты размещения</w:t>
                  </w:r>
                  <w:proofErr w:type="gram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закупки.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Обеспечение конкурсных заявок, кроме банковских гарантий: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Обязательства Участников, связанные с подачей Конкурсных заявок, обеспечиваются задатком на сумму: 3 % от общей стоимости заявки Участника (с учетом налогов). Задаток должен быть зачислен на расчетный счет Заказчика до момента окончания срока подачи заявок на участие в конкурсе. В противном случае задаток считается </w:t>
                  </w:r>
                  <w:proofErr w:type="gram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невнесенным</w:t>
                  </w:r>
                  <w:proofErr w:type="gram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и такая заявка будет отклонена Организатором конкурса.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Обеспечение исполнения обязательств по договору осуществляется двумя способами: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1. в форме финансового обеспечения в размере 3% от стоимости предложения с учетом налогов.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2. в случае использования авансирования, исполнение обязательств Победителя по Договору так же должно обеспечиваться безотзывной и безусловной банковской гарантией на возврат Победителем авансовых платежей, </w:t>
                  </w:r>
                  <w:proofErr w:type="gram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сумма</w:t>
                  </w:r>
                  <w:proofErr w:type="gram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которой не может составлять менее 100% от суммы аванса. Сумма гарантии должна быть выражена в российских рублях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Конкурсные заявки:</w:t>
                  </w:r>
                </w:p>
              </w:tc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Все документы, входящие в Конкурсную заявку должны быть подготовлены на русском языке. Все суммы денежных сре</w:t>
                  </w:r>
                  <w:proofErr w:type="gram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дств в д</w:t>
                  </w:r>
                  <w:proofErr w:type="gram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окументах, входящих в Конкурсную заявку, должны быть выражены в российских рублях.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«b2b-mrsk.ru» в установленный срок. Кроме подачи Конкурсной заявки в электронный сейф, Участники обязаны предоставить Конкурсные заявки на бумажном носителе. Конкурсные заявки на бумажном носителе, полученные позже установленного выше срока, будут отклонены Организатором конкурса 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без рассмотрения по существу, независимо от причин опоздания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lastRenderedPageBreak/>
                    <w:t>При выборе победителя учитывается: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Цена с НДС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Открытие торгов (вскрытие конвертов с конкурсными заявками):</w:t>
                  </w:r>
                </w:p>
              </w:tc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Вскрытие конвертов с Конкурсными заявками будет произведено в соответствии с действующими регламентами электронной системы «b2b-mrsk.ru» по адресу: 628617, РФ, Тюменская область,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ХМАО-Югра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г. Нижневартовск, ул. Пермская, 22,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335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вскрытия конвертов (крайний срок подачи конкурсных заявок):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Вскрытие конвертов с заявками состоится </w:t>
                  </w:r>
                  <w:r w:rsidRPr="00470E4C">
                    <w:rPr>
                      <w:rFonts w:ascii="Arial" w:eastAsia="Times New Roman" w:hAnsi="Arial" w:cs="Arial"/>
                      <w:b/>
                      <w:bCs/>
                      <w:sz w:val="14"/>
                      <w:szCs w:val="14"/>
                      <w:lang w:eastAsia="ru-RU"/>
                    </w:rPr>
                    <w:t>23.05.2012 в 8:00 по московскому времени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рассмотрения предложений и подведения итогов закупки:</w:t>
                  </w:r>
                </w:p>
              </w:tc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22.06.2012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Место рассмотрения предложений: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628617, РФ, Тюменская область,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ХМАО-Югра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, г. Нижневартовск, ул. Пермская, 22,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каб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. 335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Победитель конкурса:</w:t>
                  </w:r>
                </w:p>
              </w:tc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Конкурсная комиссия на своем заседании определяет Победителя Конкурса, как Участника Конкурса, Конкурсная заявка которого заняла первое место в итоговой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ранжировке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Конкурсных заявок по степени предпочтительности для Заказчика. Оценка Конкурсных заявок осуществляется Конкурсной комиссией и иными лицами (экспертами и специалистами), привлеченными Конкурсной комиссией. Договор по результатам конкурса между Заказчиком и Победителем конкурса будет заключен в течение 60 (шестидесяти) дней на основании протокола о результатах конкурса, подписанного этим Участником и Организатором конкурса. Организатор Конкурса вправе, при необходимости, изменить данный срок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Лимитная (начальная) цена закупки: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8 739 280,60 руб. с НДС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Переторжка (регулирование цены):</w:t>
                  </w:r>
                </w:p>
              </w:tc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Организатор конкурса намерен воспользоваться правом на проведение переторжки (регулирования цены).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Дополнительная информация о конкурсе: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Организатор конкурса имеет право отказаться от проведения конкурса в любое время до 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рассмотрения предложений – 13.06.2012 г.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Дата подведения итогов закупки – 22.06.2012 г.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 xml:space="preserve">По техническим вопросам: Булатов Николай Андреевич, зам. начальника ОКС, тел. (3466) 48-43-64,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e-mail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: BulatovNA@vartanet.ru</w:t>
                  </w:r>
                  <w:proofErr w:type="gram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br/>
                    <w:t>П</w:t>
                  </w:r>
                  <w:proofErr w:type="gram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о организационным вопросам: Черных Юлия Николаевна </w:t>
                  </w:r>
                  <w:proofErr w:type="gram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–и</w:t>
                  </w:r>
                  <w:proofErr w:type="gram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нженер 2 кат. </w:t>
                  </w:r>
                  <w:proofErr w:type="spellStart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ОЛиМТО</w:t>
                  </w:r>
                  <w:proofErr w:type="spellEnd"/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, тел.(3466) 48-42-83, факс (3466) 48-45-38,e-mail: ChernyhYN@vartanet.ru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Адрес места поставки товара, проведения работ или оказания услуг:</w:t>
                  </w:r>
                </w:p>
              </w:tc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w:history="1">
                    <w:r w:rsidRPr="00470E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 xml:space="preserve">628617, г. Нижневартовск, ул. </w:t>
                    </w:r>
                    <w:proofErr w:type="gramStart"/>
                    <w:r w:rsidRPr="00470E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Пермская</w:t>
                    </w:r>
                    <w:proofErr w:type="gramEnd"/>
                    <w:r w:rsidRPr="00470E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, 22</w:t>
                    </w:r>
                  </w:hyperlink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 xml:space="preserve"> </w:t>
                  </w: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pict/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Дата последнего редактирования:</w:t>
                  </w:r>
                </w:p>
              </w:tc>
              <w:tc>
                <w:tcPr>
                  <w:tcW w:w="0" w:type="auto"/>
                  <w:shd w:val="clear" w:color="auto" w:fill="F7F7F7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20.04.2012 09:41</w:t>
                  </w:r>
                </w:p>
              </w:tc>
            </w:tr>
            <w:tr w:rsidR="00470E4C" w:rsidRPr="00470E4C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r w:rsidRPr="00470E4C"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  <w:t>Информация о подписи:</w:t>
                  </w:r>
                </w:p>
              </w:tc>
              <w:tc>
                <w:tcPr>
                  <w:tcW w:w="0" w:type="auto"/>
                  <w:hideMark/>
                </w:tcPr>
                <w:p w:rsidR="00470E4C" w:rsidRPr="00470E4C" w:rsidRDefault="00470E4C" w:rsidP="00470E4C">
                  <w:pPr>
                    <w:spacing w:after="0" w:line="240" w:lineRule="auto"/>
                    <w:rPr>
                      <w:rFonts w:ascii="Arial" w:eastAsia="Times New Roman" w:hAnsi="Arial" w:cs="Arial"/>
                      <w:sz w:val="14"/>
                      <w:szCs w:val="14"/>
                      <w:lang w:eastAsia="ru-RU"/>
                    </w:rPr>
                  </w:pPr>
                  <w:hyperlink r:id="rId16" w:tgtFrame="signature" w:history="1">
                    <w:r w:rsidRPr="00470E4C">
                      <w:rPr>
                        <w:rFonts w:ascii="Arial" w:eastAsia="Times New Roman" w:hAnsi="Arial" w:cs="Arial"/>
                        <w:color w:val="1C50A4"/>
                        <w:sz w:val="14"/>
                        <w:szCs w:val="14"/>
                        <w:lang w:eastAsia="ru-RU"/>
                      </w:rPr>
                      <w:t>Подписано ЭЦП</w:t>
                    </w:r>
                  </w:hyperlink>
                </w:p>
              </w:tc>
            </w:tr>
          </w:tbl>
          <w:p w:rsidR="00470E4C" w:rsidRPr="00470E4C" w:rsidRDefault="00470E4C" w:rsidP="00470E4C">
            <w:pPr>
              <w:spacing w:after="0" w:line="240" w:lineRule="auto"/>
              <w:rPr>
                <w:rFonts w:ascii="Arial" w:eastAsia="Times New Roman" w:hAnsi="Arial" w:cs="Arial"/>
                <w:sz w:val="14"/>
                <w:szCs w:val="14"/>
                <w:lang w:eastAsia="ru-RU"/>
              </w:rPr>
            </w:pPr>
          </w:p>
        </w:tc>
      </w:tr>
    </w:tbl>
    <w:p w:rsidR="00261164" w:rsidRDefault="00261164"/>
    <w:sectPr w:rsidR="00261164" w:rsidSect="002611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470E4C"/>
    <w:rsid w:val="000022E3"/>
    <w:rsid w:val="00020C21"/>
    <w:rsid w:val="00030291"/>
    <w:rsid w:val="0003138C"/>
    <w:rsid w:val="00033C31"/>
    <w:rsid w:val="0003712B"/>
    <w:rsid w:val="0004544F"/>
    <w:rsid w:val="000500AE"/>
    <w:rsid w:val="00054070"/>
    <w:rsid w:val="0005614E"/>
    <w:rsid w:val="000655AC"/>
    <w:rsid w:val="00066985"/>
    <w:rsid w:val="0007355A"/>
    <w:rsid w:val="000904AC"/>
    <w:rsid w:val="00096FC3"/>
    <w:rsid w:val="00097243"/>
    <w:rsid w:val="000A05D8"/>
    <w:rsid w:val="000A7BE2"/>
    <w:rsid w:val="000C52F2"/>
    <w:rsid w:val="000D0958"/>
    <w:rsid w:val="000D7568"/>
    <w:rsid w:val="000E168F"/>
    <w:rsid w:val="000F6A81"/>
    <w:rsid w:val="00103A8E"/>
    <w:rsid w:val="001405CC"/>
    <w:rsid w:val="0014372D"/>
    <w:rsid w:val="001578E9"/>
    <w:rsid w:val="001626D7"/>
    <w:rsid w:val="001704CC"/>
    <w:rsid w:val="00171BE3"/>
    <w:rsid w:val="00172F65"/>
    <w:rsid w:val="0018267E"/>
    <w:rsid w:val="0019258A"/>
    <w:rsid w:val="001B0AA8"/>
    <w:rsid w:val="001B6903"/>
    <w:rsid w:val="001C4F44"/>
    <w:rsid w:val="001C62B2"/>
    <w:rsid w:val="001C645E"/>
    <w:rsid w:val="001D1EC8"/>
    <w:rsid w:val="001E32E4"/>
    <w:rsid w:val="001F3A5C"/>
    <w:rsid w:val="001F4923"/>
    <w:rsid w:val="002271AD"/>
    <w:rsid w:val="00227C06"/>
    <w:rsid w:val="002316EE"/>
    <w:rsid w:val="00236DE1"/>
    <w:rsid w:val="00240E12"/>
    <w:rsid w:val="00246787"/>
    <w:rsid w:val="00254A41"/>
    <w:rsid w:val="00256120"/>
    <w:rsid w:val="00256780"/>
    <w:rsid w:val="0026051D"/>
    <w:rsid w:val="00261164"/>
    <w:rsid w:val="00263DAD"/>
    <w:rsid w:val="002668C3"/>
    <w:rsid w:val="00277E77"/>
    <w:rsid w:val="00285711"/>
    <w:rsid w:val="00286748"/>
    <w:rsid w:val="00294480"/>
    <w:rsid w:val="002A4A1C"/>
    <w:rsid w:val="002B027A"/>
    <w:rsid w:val="002B24F0"/>
    <w:rsid w:val="002C128D"/>
    <w:rsid w:val="002D61B9"/>
    <w:rsid w:val="00307375"/>
    <w:rsid w:val="00321D90"/>
    <w:rsid w:val="00323B21"/>
    <w:rsid w:val="0033043A"/>
    <w:rsid w:val="00334A22"/>
    <w:rsid w:val="00344E63"/>
    <w:rsid w:val="00352E63"/>
    <w:rsid w:val="003572DC"/>
    <w:rsid w:val="00363148"/>
    <w:rsid w:val="00364253"/>
    <w:rsid w:val="00365563"/>
    <w:rsid w:val="003702DA"/>
    <w:rsid w:val="0039299D"/>
    <w:rsid w:val="00396631"/>
    <w:rsid w:val="003977CE"/>
    <w:rsid w:val="003A116E"/>
    <w:rsid w:val="003A5054"/>
    <w:rsid w:val="003B4C70"/>
    <w:rsid w:val="003B5CBF"/>
    <w:rsid w:val="003C6C0A"/>
    <w:rsid w:val="003D13B8"/>
    <w:rsid w:val="003F62A1"/>
    <w:rsid w:val="00411E46"/>
    <w:rsid w:val="004159CB"/>
    <w:rsid w:val="00426631"/>
    <w:rsid w:val="00432283"/>
    <w:rsid w:val="00452BF8"/>
    <w:rsid w:val="00454F68"/>
    <w:rsid w:val="00470E4C"/>
    <w:rsid w:val="00487B16"/>
    <w:rsid w:val="004916C2"/>
    <w:rsid w:val="004A1DCF"/>
    <w:rsid w:val="004C3BD5"/>
    <w:rsid w:val="004E24DC"/>
    <w:rsid w:val="004E3DAF"/>
    <w:rsid w:val="004F4515"/>
    <w:rsid w:val="00502229"/>
    <w:rsid w:val="005358E1"/>
    <w:rsid w:val="005441B4"/>
    <w:rsid w:val="005441C6"/>
    <w:rsid w:val="00565DFA"/>
    <w:rsid w:val="00572D3F"/>
    <w:rsid w:val="0057654E"/>
    <w:rsid w:val="005918A2"/>
    <w:rsid w:val="00594B2E"/>
    <w:rsid w:val="005A41F4"/>
    <w:rsid w:val="005C3948"/>
    <w:rsid w:val="005C5061"/>
    <w:rsid w:val="005C70AD"/>
    <w:rsid w:val="005D27FD"/>
    <w:rsid w:val="005E6401"/>
    <w:rsid w:val="006029D2"/>
    <w:rsid w:val="00605B65"/>
    <w:rsid w:val="00624CE9"/>
    <w:rsid w:val="00632030"/>
    <w:rsid w:val="00632AB4"/>
    <w:rsid w:val="00637347"/>
    <w:rsid w:val="006377BD"/>
    <w:rsid w:val="00640D27"/>
    <w:rsid w:val="006442BA"/>
    <w:rsid w:val="006543A7"/>
    <w:rsid w:val="00660A3E"/>
    <w:rsid w:val="00681C4E"/>
    <w:rsid w:val="00682668"/>
    <w:rsid w:val="00685E72"/>
    <w:rsid w:val="00695B5E"/>
    <w:rsid w:val="006A4CE0"/>
    <w:rsid w:val="006A6459"/>
    <w:rsid w:val="006A7F1B"/>
    <w:rsid w:val="006B1B69"/>
    <w:rsid w:val="006C760B"/>
    <w:rsid w:val="006D5C19"/>
    <w:rsid w:val="006E4462"/>
    <w:rsid w:val="00701D19"/>
    <w:rsid w:val="0070317A"/>
    <w:rsid w:val="00704AC1"/>
    <w:rsid w:val="00707760"/>
    <w:rsid w:val="00711678"/>
    <w:rsid w:val="00725B34"/>
    <w:rsid w:val="007266E5"/>
    <w:rsid w:val="00731578"/>
    <w:rsid w:val="0073414B"/>
    <w:rsid w:val="00735D32"/>
    <w:rsid w:val="00735FC6"/>
    <w:rsid w:val="00745750"/>
    <w:rsid w:val="007465C2"/>
    <w:rsid w:val="00747B45"/>
    <w:rsid w:val="007631A1"/>
    <w:rsid w:val="00774810"/>
    <w:rsid w:val="007905B6"/>
    <w:rsid w:val="00797BEA"/>
    <w:rsid w:val="007A0290"/>
    <w:rsid w:val="007A6FE0"/>
    <w:rsid w:val="007B5612"/>
    <w:rsid w:val="007D1AAE"/>
    <w:rsid w:val="007D371E"/>
    <w:rsid w:val="007D6927"/>
    <w:rsid w:val="007F2DE5"/>
    <w:rsid w:val="007F3263"/>
    <w:rsid w:val="007F7F24"/>
    <w:rsid w:val="0082273C"/>
    <w:rsid w:val="00857480"/>
    <w:rsid w:val="008640E8"/>
    <w:rsid w:val="0087502F"/>
    <w:rsid w:val="0087661A"/>
    <w:rsid w:val="008772E5"/>
    <w:rsid w:val="00886E29"/>
    <w:rsid w:val="00893064"/>
    <w:rsid w:val="00897DAA"/>
    <w:rsid w:val="008A19DB"/>
    <w:rsid w:val="008B4314"/>
    <w:rsid w:val="008C53B3"/>
    <w:rsid w:val="008E3FE5"/>
    <w:rsid w:val="009011D3"/>
    <w:rsid w:val="00903D30"/>
    <w:rsid w:val="00907175"/>
    <w:rsid w:val="009109B6"/>
    <w:rsid w:val="009112B3"/>
    <w:rsid w:val="00932C24"/>
    <w:rsid w:val="009340A3"/>
    <w:rsid w:val="0093619F"/>
    <w:rsid w:val="00936521"/>
    <w:rsid w:val="00936C88"/>
    <w:rsid w:val="00947BF2"/>
    <w:rsid w:val="009607FF"/>
    <w:rsid w:val="009762C4"/>
    <w:rsid w:val="00976359"/>
    <w:rsid w:val="00982046"/>
    <w:rsid w:val="0098503B"/>
    <w:rsid w:val="00992B2E"/>
    <w:rsid w:val="009B0B9B"/>
    <w:rsid w:val="009B435B"/>
    <w:rsid w:val="009B59EA"/>
    <w:rsid w:val="009F440F"/>
    <w:rsid w:val="00A022E4"/>
    <w:rsid w:val="00A1295E"/>
    <w:rsid w:val="00A16A61"/>
    <w:rsid w:val="00A16D37"/>
    <w:rsid w:val="00A3521D"/>
    <w:rsid w:val="00A373F9"/>
    <w:rsid w:val="00A5153D"/>
    <w:rsid w:val="00A608C8"/>
    <w:rsid w:val="00A716BA"/>
    <w:rsid w:val="00A82ADB"/>
    <w:rsid w:val="00A83F30"/>
    <w:rsid w:val="00A84EA6"/>
    <w:rsid w:val="00A8753C"/>
    <w:rsid w:val="00A96B7A"/>
    <w:rsid w:val="00AB7CAB"/>
    <w:rsid w:val="00AC0537"/>
    <w:rsid w:val="00AC3DAB"/>
    <w:rsid w:val="00AD31A4"/>
    <w:rsid w:val="00AD4CAB"/>
    <w:rsid w:val="00AD7BC4"/>
    <w:rsid w:val="00AE1246"/>
    <w:rsid w:val="00AE6F82"/>
    <w:rsid w:val="00AE73CB"/>
    <w:rsid w:val="00AE7726"/>
    <w:rsid w:val="00AF3E57"/>
    <w:rsid w:val="00AF4719"/>
    <w:rsid w:val="00B017D5"/>
    <w:rsid w:val="00B059FC"/>
    <w:rsid w:val="00B07471"/>
    <w:rsid w:val="00B22680"/>
    <w:rsid w:val="00B528DB"/>
    <w:rsid w:val="00B63DBD"/>
    <w:rsid w:val="00B65E74"/>
    <w:rsid w:val="00B67430"/>
    <w:rsid w:val="00B723C4"/>
    <w:rsid w:val="00B822E6"/>
    <w:rsid w:val="00B826FB"/>
    <w:rsid w:val="00B91A33"/>
    <w:rsid w:val="00B96B66"/>
    <w:rsid w:val="00BA1DC0"/>
    <w:rsid w:val="00BA24B6"/>
    <w:rsid w:val="00BA438C"/>
    <w:rsid w:val="00BB1349"/>
    <w:rsid w:val="00BB2D5E"/>
    <w:rsid w:val="00BB59B4"/>
    <w:rsid w:val="00BC19AD"/>
    <w:rsid w:val="00BC7C88"/>
    <w:rsid w:val="00BD4341"/>
    <w:rsid w:val="00BF2E70"/>
    <w:rsid w:val="00C03906"/>
    <w:rsid w:val="00C04E2F"/>
    <w:rsid w:val="00C05474"/>
    <w:rsid w:val="00C14011"/>
    <w:rsid w:val="00C14A8B"/>
    <w:rsid w:val="00C224E1"/>
    <w:rsid w:val="00C24A3C"/>
    <w:rsid w:val="00C3395D"/>
    <w:rsid w:val="00C458DD"/>
    <w:rsid w:val="00C5163F"/>
    <w:rsid w:val="00C626BD"/>
    <w:rsid w:val="00C979C2"/>
    <w:rsid w:val="00CB4FCC"/>
    <w:rsid w:val="00CB7634"/>
    <w:rsid w:val="00CE3DDF"/>
    <w:rsid w:val="00D06066"/>
    <w:rsid w:val="00D135D8"/>
    <w:rsid w:val="00D26BAD"/>
    <w:rsid w:val="00D40098"/>
    <w:rsid w:val="00D41E5C"/>
    <w:rsid w:val="00D46F43"/>
    <w:rsid w:val="00D63C5A"/>
    <w:rsid w:val="00D65740"/>
    <w:rsid w:val="00D72EAD"/>
    <w:rsid w:val="00D90202"/>
    <w:rsid w:val="00D94207"/>
    <w:rsid w:val="00D94D7F"/>
    <w:rsid w:val="00D96507"/>
    <w:rsid w:val="00DA1C01"/>
    <w:rsid w:val="00DA5E25"/>
    <w:rsid w:val="00DA787B"/>
    <w:rsid w:val="00DA7ED4"/>
    <w:rsid w:val="00DB2CFE"/>
    <w:rsid w:val="00DB67EC"/>
    <w:rsid w:val="00DC13A4"/>
    <w:rsid w:val="00DC1D34"/>
    <w:rsid w:val="00DC34F0"/>
    <w:rsid w:val="00DD2553"/>
    <w:rsid w:val="00DD3525"/>
    <w:rsid w:val="00DE5732"/>
    <w:rsid w:val="00DF3380"/>
    <w:rsid w:val="00E00C4D"/>
    <w:rsid w:val="00E06F5B"/>
    <w:rsid w:val="00E4282B"/>
    <w:rsid w:val="00E47DD3"/>
    <w:rsid w:val="00E550B1"/>
    <w:rsid w:val="00E57F27"/>
    <w:rsid w:val="00E61849"/>
    <w:rsid w:val="00E66608"/>
    <w:rsid w:val="00E70B94"/>
    <w:rsid w:val="00E93BBC"/>
    <w:rsid w:val="00E96B9A"/>
    <w:rsid w:val="00EB0324"/>
    <w:rsid w:val="00EB2F7D"/>
    <w:rsid w:val="00F039B2"/>
    <w:rsid w:val="00F21EFA"/>
    <w:rsid w:val="00F26F51"/>
    <w:rsid w:val="00F37D69"/>
    <w:rsid w:val="00F430EF"/>
    <w:rsid w:val="00F43A03"/>
    <w:rsid w:val="00F54C9E"/>
    <w:rsid w:val="00F61BF4"/>
    <w:rsid w:val="00F74535"/>
    <w:rsid w:val="00FA50FB"/>
    <w:rsid w:val="00FA5AB0"/>
    <w:rsid w:val="00FB0D6B"/>
    <w:rsid w:val="00FB7532"/>
    <w:rsid w:val="00FC60C3"/>
    <w:rsid w:val="00FE42DA"/>
    <w:rsid w:val="00FE56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164"/>
  </w:style>
  <w:style w:type="paragraph" w:styleId="1">
    <w:name w:val="heading 1"/>
    <w:basedOn w:val="a"/>
    <w:link w:val="10"/>
    <w:uiPriority w:val="9"/>
    <w:qFormat/>
    <w:rsid w:val="00470E4C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0E4C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bg1">
    <w:name w:val="bg1"/>
    <w:basedOn w:val="a0"/>
    <w:rsid w:val="00470E4C"/>
    <w:rPr>
      <w:color w:val="A0A0A0"/>
      <w:sz w:val="18"/>
      <w:szCs w:val="18"/>
    </w:rPr>
  </w:style>
  <w:style w:type="character" w:customStyle="1" w:styleId="userlinkmenu">
    <w:name w:val="userlink_menu"/>
    <w:basedOn w:val="a0"/>
    <w:rsid w:val="00470E4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100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370510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3521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5044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4416">
          <w:marLeft w:val="0"/>
          <w:marRight w:val="9"/>
          <w:marTop w:val="0"/>
          <w:marBottom w:val="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7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98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mrsk.ru/market/list_tenders.html?all=0&amp;cat_id=43120103&amp;open=1" TargetMode="External"/><Relationship Id="rId13" Type="http://schemas.openxmlformats.org/officeDocument/2006/relationships/hyperlink" Target="http://www.b2b-mrsk.ru/download.html?file=file%2F2689413.zip&amp;title=%D0%9A%D0%94.zip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b2b-mrsk.ru/firms/view_firm.html?id=247" TargetMode="External"/><Relationship Id="rId12" Type="http://schemas.openxmlformats.org/officeDocument/2006/relationships/hyperlink" Target="mailto:MezheninaN@id.te.ru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b2b-mrsk.ru/market/view_tender.html?id=30068&amp;action=signed_doc&amp;key=tender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b2b-mrsk.ru/market/view_tender.html?id=30068&amp;show=statistics" TargetMode="External"/><Relationship Id="rId11" Type="http://schemas.openxmlformats.org/officeDocument/2006/relationships/hyperlink" Target="http://www.b2b-mrsk.ru/popups/send_message.html?action=send&amp;to=239&amp;subject=%D0%92%D0%BE%D0%BF%D1%80%D0%BE%D1%81+%D0%BF%D0%BE+%D0%BA%D0%BE%D0%BD%D0%BA%D1%83%D1%80%D1%81%D1%83+%E2%84%96+30068" TargetMode="External"/><Relationship Id="rId5" Type="http://schemas.openxmlformats.org/officeDocument/2006/relationships/hyperlink" Target="http://www.b2b-mrsk.ru/market/edit_tender.html?id=30068&amp;action=send_letters" TargetMode="External"/><Relationship Id="rId15" Type="http://schemas.openxmlformats.org/officeDocument/2006/relationships/hyperlink" Target="http://www.b2b-mrsk.ru/translation/translation.html" TargetMode="External"/><Relationship Id="rId10" Type="http://schemas.openxmlformats.org/officeDocument/2006/relationships/hyperlink" Target="http://www.b2b-mrsk.ru/market/list_tenders.html?all=0&amp;cat_id=64560593&amp;open=1" TargetMode="External"/><Relationship Id="rId4" Type="http://schemas.openxmlformats.org/officeDocument/2006/relationships/hyperlink" Target="http://www.b2b-mrsk.ru/market/view_tender.html?id=30068&amp;action=explanation" TargetMode="External"/><Relationship Id="rId9" Type="http://schemas.openxmlformats.org/officeDocument/2006/relationships/hyperlink" Target="http://www.b2b-mrsk.ru/market/list_tenders.html?all=0&amp;cat_id=64521123&amp;open=1" TargetMode="External"/><Relationship Id="rId14" Type="http://schemas.openxmlformats.org/officeDocument/2006/relationships/hyperlink" Target="http://www.b2b-mrsk.ru/market/view_tender.html?id=30068&amp;action=signed_doc&amp;key=do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1564</Words>
  <Characters>8919</Characters>
  <Application>Microsoft Office Word</Application>
  <DocSecurity>0</DocSecurity>
  <Lines>74</Lines>
  <Paragraphs>20</Paragraphs>
  <ScaleCrop>false</ScaleCrop>
  <Company>Hewlett-Packard Company</Company>
  <LinksUpToDate>false</LinksUpToDate>
  <CharactersWithSpaces>10463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TuniekovaOY</dc:creator>
  <cp:lastModifiedBy>TuniekovaOY</cp:lastModifiedBy>
  <cp:revision>1</cp:revision>
  <dcterms:created xsi:type="dcterms:W3CDTF">2012-04-20T05:56:00Z</dcterms:created>
  <dcterms:modified xsi:type="dcterms:W3CDTF">2012-04-20T05:57:00Z</dcterms:modified>
</cp:coreProperties>
</file>