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7" w:type="dxa"/>
        <w:tblCellMar>
          <w:left w:w="0" w:type="dxa"/>
          <w:right w:w="0" w:type="dxa"/>
        </w:tblCellMar>
        <w:tblLook w:val="04A0"/>
      </w:tblPr>
      <w:tblGrid>
        <w:gridCol w:w="9383"/>
      </w:tblGrid>
      <w:tr w:rsidR="00FD3F28" w:rsidRPr="00FD3F28">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7592"/>
              <w:gridCol w:w="1763"/>
            </w:tblGrid>
            <w:tr w:rsidR="00FD3F28" w:rsidRPr="00FD3F28">
              <w:trPr>
                <w:tblCellSpacing w:w="0" w:type="dxa"/>
              </w:trPr>
              <w:tc>
                <w:tcPr>
                  <w:tcW w:w="4950" w:type="pct"/>
                  <w:shd w:val="clear" w:color="auto" w:fill="E9E9E9"/>
                  <w:hideMark/>
                </w:tcPr>
                <w:p w:rsidR="00FD3F28" w:rsidRPr="00FD3F28" w:rsidRDefault="00FD3F28" w:rsidP="00FD3F28">
                  <w:pPr>
                    <w:ind w:firstLine="0"/>
                    <w:jc w:val="left"/>
                    <w:rPr>
                      <w:rFonts w:ascii="Arial" w:eastAsia="Times New Roman" w:hAnsi="Arial" w:cs="Arial"/>
                      <w:sz w:val="20"/>
                      <w:szCs w:val="20"/>
                      <w:lang w:eastAsia="ru-RU"/>
                    </w:rPr>
                  </w:pPr>
                  <w:bookmarkStart w:id="0" w:name="expl_68888"/>
                  <w:bookmarkEnd w:id="0"/>
                  <w:r w:rsidRPr="00FD3F28">
                    <w:rPr>
                      <w:rFonts w:ascii="Arial" w:eastAsia="Times New Roman" w:hAnsi="Arial" w:cs="Arial"/>
                      <w:b/>
                      <w:bCs/>
                      <w:sz w:val="20"/>
                      <w:szCs w:val="20"/>
                      <w:lang w:eastAsia="ru-RU"/>
                    </w:rPr>
                    <w:t>Вопрос:</w:t>
                  </w:r>
                  <w:r w:rsidRPr="00FD3F28">
                    <w:rPr>
                      <w:rFonts w:ascii="Arial" w:eastAsia="Times New Roman" w:hAnsi="Arial" w:cs="Arial"/>
                      <w:sz w:val="20"/>
                      <w:szCs w:val="20"/>
                      <w:lang w:eastAsia="ru-RU"/>
                    </w:rPr>
                    <w:t xml:space="preserve">   </w:t>
                  </w:r>
                </w:p>
              </w:tc>
              <w:tc>
                <w:tcPr>
                  <w:tcW w:w="0" w:type="auto"/>
                  <w:shd w:val="clear" w:color="auto" w:fill="E9E9E9"/>
                  <w:noWrap/>
                  <w:hideMark/>
                </w:tcPr>
                <w:p w:rsidR="00FD3F28" w:rsidRPr="00FD3F28" w:rsidRDefault="00FD3F28" w:rsidP="00FD3F28">
                  <w:pPr>
                    <w:ind w:firstLine="0"/>
                    <w:jc w:val="right"/>
                    <w:rPr>
                      <w:rFonts w:ascii="Arial" w:eastAsia="Times New Roman" w:hAnsi="Arial" w:cs="Arial"/>
                      <w:sz w:val="20"/>
                      <w:szCs w:val="20"/>
                      <w:lang w:eastAsia="ru-RU"/>
                    </w:rPr>
                  </w:pPr>
                  <w:r w:rsidRPr="00FD3F28">
                    <w:rPr>
                      <w:rFonts w:ascii="Arial" w:eastAsia="Times New Roman" w:hAnsi="Arial" w:cs="Arial"/>
                      <w:sz w:val="20"/>
                      <w:szCs w:val="20"/>
                      <w:lang w:eastAsia="ru-RU"/>
                    </w:rPr>
                    <w:t xml:space="preserve"> 28.01.2013 14:11 </w:t>
                  </w:r>
                </w:p>
              </w:tc>
            </w:tr>
            <w:tr w:rsidR="00FD3F28" w:rsidRPr="00FD3F28">
              <w:trPr>
                <w:tblCellSpacing w:w="0" w:type="dxa"/>
              </w:trPr>
              <w:tc>
                <w:tcPr>
                  <w:tcW w:w="0" w:type="auto"/>
                  <w:gridSpan w:val="2"/>
                  <w:shd w:val="clear" w:color="auto" w:fill="F7F7F7"/>
                  <w:hideMark/>
                </w:tcPr>
                <w:p w:rsidR="00FD3F28" w:rsidRPr="00FD3F28" w:rsidRDefault="00FD3F28" w:rsidP="00FD3F28">
                  <w:pPr>
                    <w:ind w:firstLine="0"/>
                    <w:jc w:val="left"/>
                    <w:rPr>
                      <w:rFonts w:ascii="Arial" w:eastAsia="Times New Roman" w:hAnsi="Arial" w:cs="Arial"/>
                      <w:sz w:val="20"/>
                      <w:szCs w:val="20"/>
                      <w:lang w:eastAsia="ru-RU"/>
                    </w:rPr>
                  </w:pPr>
                  <w:r w:rsidRPr="00FD3F28">
                    <w:rPr>
                      <w:rFonts w:ascii="Arial" w:eastAsia="Times New Roman" w:hAnsi="Arial" w:cs="Arial"/>
                      <w:sz w:val="20"/>
                      <w:szCs w:val="20"/>
                      <w:lang w:eastAsia="ru-RU"/>
                    </w:rPr>
                    <w:t>Добрый день!</w:t>
                  </w:r>
                  <w:r w:rsidRPr="00FD3F28">
                    <w:rPr>
                      <w:rFonts w:ascii="Arial" w:eastAsia="Times New Roman" w:hAnsi="Arial" w:cs="Arial"/>
                      <w:sz w:val="20"/>
                      <w:szCs w:val="20"/>
                      <w:lang w:eastAsia="ru-RU"/>
                    </w:rPr>
                    <w:br/>
                    <w:t xml:space="preserve">Просьба подгрузить к конкурсной документации Форму Соглашения об охране информации, составляющей коммерческую тайну, ссылка </w:t>
                  </w:r>
                  <w:proofErr w:type="gramStart"/>
                  <w:r w:rsidRPr="00FD3F28">
                    <w:rPr>
                      <w:rFonts w:ascii="Arial" w:eastAsia="Times New Roman" w:hAnsi="Arial" w:cs="Arial"/>
                      <w:sz w:val="20"/>
                      <w:szCs w:val="20"/>
                      <w:lang w:eastAsia="ru-RU"/>
                    </w:rPr>
                    <w:t>на</w:t>
                  </w:r>
                  <w:proofErr w:type="gramEnd"/>
                  <w:r w:rsidRPr="00FD3F28">
                    <w:rPr>
                      <w:rFonts w:ascii="Arial" w:eastAsia="Times New Roman" w:hAnsi="Arial" w:cs="Arial"/>
                      <w:sz w:val="20"/>
                      <w:szCs w:val="20"/>
                      <w:lang w:eastAsia="ru-RU"/>
                    </w:rPr>
                    <w:t xml:space="preserve"> которое есть в Конкурсной документации (сама форма отсутствует). Спасибо.</w:t>
                  </w:r>
                </w:p>
              </w:tc>
            </w:tr>
            <w:tr w:rsidR="00FD3F28" w:rsidRPr="00FD3F28">
              <w:trPr>
                <w:tblCellSpacing w:w="0" w:type="dxa"/>
              </w:trPr>
              <w:tc>
                <w:tcPr>
                  <w:tcW w:w="0" w:type="auto"/>
                  <w:shd w:val="clear" w:color="auto" w:fill="E9E9E9"/>
                  <w:hideMark/>
                </w:tcPr>
                <w:p w:rsidR="00FD3F28" w:rsidRPr="00FD3F28" w:rsidRDefault="00FD3F28" w:rsidP="00FD3F28">
                  <w:pPr>
                    <w:ind w:firstLine="0"/>
                    <w:jc w:val="left"/>
                    <w:rPr>
                      <w:rFonts w:ascii="Arial" w:eastAsia="Times New Roman" w:hAnsi="Arial" w:cs="Arial"/>
                      <w:sz w:val="20"/>
                      <w:szCs w:val="20"/>
                      <w:lang w:eastAsia="ru-RU"/>
                    </w:rPr>
                  </w:pPr>
                  <w:hyperlink r:id="rId5" w:history="1">
                    <w:r w:rsidRPr="00FD3F28">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FD3F28" w:rsidRPr="00FD3F28" w:rsidRDefault="00FD3F28" w:rsidP="00FD3F28">
                  <w:pPr>
                    <w:ind w:firstLine="0"/>
                    <w:jc w:val="right"/>
                    <w:rPr>
                      <w:rFonts w:ascii="Arial" w:eastAsia="Times New Roman" w:hAnsi="Arial" w:cs="Arial"/>
                      <w:sz w:val="20"/>
                      <w:szCs w:val="20"/>
                      <w:lang w:eastAsia="ru-RU"/>
                    </w:rPr>
                  </w:pPr>
                  <w:r w:rsidRPr="00FD3F28">
                    <w:rPr>
                      <w:rFonts w:ascii="Arial" w:eastAsia="Times New Roman" w:hAnsi="Arial" w:cs="Arial"/>
                      <w:sz w:val="20"/>
                      <w:szCs w:val="20"/>
                      <w:lang w:eastAsia="ru-RU"/>
                    </w:rPr>
                    <w:t>28.01.2013 14:50</w:t>
                  </w:r>
                </w:p>
              </w:tc>
            </w:tr>
            <w:tr w:rsidR="00FD3F28" w:rsidRPr="00FD3F28">
              <w:trPr>
                <w:tblCellSpacing w:w="0" w:type="dxa"/>
              </w:trPr>
              <w:tc>
                <w:tcPr>
                  <w:tcW w:w="0" w:type="auto"/>
                  <w:gridSpan w:val="2"/>
                  <w:shd w:val="clear" w:color="auto" w:fill="F7F7F7"/>
                  <w:hideMark/>
                </w:tcPr>
                <w:p w:rsidR="00FD3F28" w:rsidRPr="00FD3F28" w:rsidRDefault="00FD3F28" w:rsidP="00FD3F28">
                  <w:pPr>
                    <w:ind w:firstLine="0"/>
                    <w:jc w:val="left"/>
                    <w:rPr>
                      <w:rFonts w:ascii="Arial" w:eastAsia="Times New Roman" w:hAnsi="Arial" w:cs="Arial"/>
                      <w:sz w:val="20"/>
                      <w:szCs w:val="20"/>
                      <w:lang w:eastAsia="ru-RU"/>
                    </w:rPr>
                  </w:pPr>
                  <w:r w:rsidRPr="00FD3F28">
                    <w:rPr>
                      <w:rFonts w:ascii="Arial" w:eastAsia="Times New Roman" w:hAnsi="Arial" w:cs="Arial"/>
                      <w:sz w:val="20"/>
                      <w:szCs w:val="20"/>
                      <w:lang w:eastAsia="ru-RU"/>
                    </w:rPr>
                    <w:t>Форма Соглашения об охране информации во вложении.</w:t>
                  </w:r>
                  <w:r w:rsidRPr="00FD3F28">
                    <w:rPr>
                      <w:rFonts w:ascii="Arial" w:eastAsia="Times New Roman" w:hAnsi="Arial" w:cs="Arial"/>
                      <w:sz w:val="20"/>
                      <w:szCs w:val="20"/>
                      <w:lang w:eastAsia="ru-RU"/>
                    </w:rPr>
                    <w:br/>
                  </w:r>
                  <w:hyperlink r:id="rId6" w:tgtFrame="_blank" w:history="1">
                    <w:r w:rsidRPr="00FD3F28">
                      <w:rPr>
                        <w:rFonts w:ascii="Arial" w:eastAsia="Times New Roman" w:hAnsi="Arial" w:cs="Arial"/>
                        <w:color w:val="1C50A4"/>
                        <w:sz w:val="20"/>
                        <w:szCs w:val="20"/>
                        <w:lang w:eastAsia="ru-RU"/>
                      </w:rPr>
                      <w:t xml:space="preserve">Скачать файл </w:t>
                    </w:r>
                    <w:proofErr w:type="spellStart"/>
                    <w:r w:rsidRPr="00FD3F28">
                      <w:rPr>
                        <w:rFonts w:ascii="Arial" w:eastAsia="Times New Roman" w:hAnsi="Arial" w:cs="Arial"/>
                        <w:b/>
                        <w:bCs/>
                        <w:color w:val="1C50A4"/>
                        <w:sz w:val="20"/>
                        <w:szCs w:val="20"/>
                        <w:lang w:eastAsia="ru-RU"/>
                      </w:rPr>
                      <w:t>Соглаш-е</w:t>
                    </w:r>
                    <w:proofErr w:type="spellEnd"/>
                    <w:r w:rsidRPr="00FD3F28">
                      <w:rPr>
                        <w:rFonts w:ascii="Arial" w:eastAsia="Times New Roman" w:hAnsi="Arial" w:cs="Arial"/>
                        <w:b/>
                        <w:bCs/>
                        <w:color w:val="1C50A4"/>
                        <w:sz w:val="20"/>
                        <w:szCs w:val="20"/>
                        <w:lang w:eastAsia="ru-RU"/>
                      </w:rPr>
                      <w:t xml:space="preserve"> об охране </w:t>
                    </w:r>
                    <w:proofErr w:type="spellStart"/>
                    <w:r w:rsidRPr="00FD3F28">
                      <w:rPr>
                        <w:rFonts w:ascii="Arial" w:eastAsia="Times New Roman" w:hAnsi="Arial" w:cs="Arial"/>
                        <w:b/>
                        <w:bCs/>
                        <w:color w:val="1C50A4"/>
                        <w:sz w:val="20"/>
                        <w:szCs w:val="20"/>
                        <w:lang w:eastAsia="ru-RU"/>
                      </w:rPr>
                      <w:t>инф-ции.docx</w:t>
                    </w:r>
                    <w:proofErr w:type="spellEnd"/>
                  </w:hyperlink>
                  <w:r w:rsidRPr="00FD3F28">
                    <w:rPr>
                      <w:rFonts w:ascii="Arial" w:eastAsia="Times New Roman" w:hAnsi="Arial" w:cs="Arial"/>
                      <w:sz w:val="20"/>
                      <w:szCs w:val="20"/>
                      <w:lang w:eastAsia="ru-RU"/>
                    </w:rPr>
                    <w:t> (16 Кб)</w:t>
                  </w:r>
                </w:p>
              </w:tc>
            </w:tr>
          </w:tbl>
          <w:p w:rsidR="00FD3F28" w:rsidRPr="00FD3F28" w:rsidRDefault="00FD3F28" w:rsidP="00FD3F28">
            <w:pPr>
              <w:ind w:firstLine="0"/>
              <w:jc w:val="left"/>
              <w:rPr>
                <w:rFonts w:ascii="Arial" w:eastAsia="Times New Roman" w:hAnsi="Arial" w:cs="Arial"/>
                <w:sz w:val="14"/>
                <w:szCs w:val="14"/>
                <w:lang w:eastAsia="ru-RU"/>
              </w:rPr>
            </w:pPr>
          </w:p>
        </w:tc>
      </w:tr>
    </w:tbl>
    <w:p w:rsidR="00FD3F28" w:rsidRDefault="00FD3F28"/>
    <w:p w:rsidR="00FD3F28" w:rsidRDefault="00FD3F28">
      <w:r>
        <w:br w:type="page"/>
      </w:r>
    </w:p>
    <w:p w:rsidR="00FD3F28" w:rsidRDefault="00FD3F28" w:rsidP="00FD3F28">
      <w:pPr>
        <w:pStyle w:val="2"/>
        <w:numPr>
          <w:ilvl w:val="0"/>
          <w:numId w:val="0"/>
        </w:numPr>
        <w:spacing w:before="120"/>
        <w:ind w:left="1134"/>
        <w:rPr>
          <w:sz w:val="24"/>
        </w:rPr>
      </w:pPr>
      <w:bookmarkStart w:id="1" w:name="_Toc337205651"/>
      <w:bookmarkStart w:id="2" w:name="_Toc341442831"/>
      <w:r w:rsidRPr="00C92840">
        <w:rPr>
          <w:sz w:val="24"/>
        </w:rPr>
        <w:lastRenderedPageBreak/>
        <w:t>Согла</w:t>
      </w:r>
      <w:r>
        <w:rPr>
          <w:sz w:val="24"/>
        </w:rPr>
        <w:t>шение</w:t>
      </w:r>
      <w:r w:rsidRPr="00C92840">
        <w:rPr>
          <w:sz w:val="24"/>
        </w:rPr>
        <w:t xml:space="preserve"> </w:t>
      </w:r>
      <w:r>
        <w:rPr>
          <w:sz w:val="24"/>
        </w:rPr>
        <w:t xml:space="preserve">об охране информации, составляющей коммерческую тайну, с участниками закупочной процедуры </w:t>
      </w:r>
      <w:r w:rsidRPr="00D21631">
        <w:rPr>
          <w:sz w:val="24"/>
        </w:rPr>
        <w:t>(форма </w:t>
      </w:r>
      <w:r w:rsidRPr="007A3080">
        <w:rPr>
          <w:sz w:val="24"/>
        </w:rPr>
        <w:t>____</w:t>
      </w:r>
      <w:r w:rsidRPr="00D21631">
        <w:rPr>
          <w:sz w:val="24"/>
        </w:rPr>
        <w:t>)</w:t>
      </w:r>
      <w:bookmarkEnd w:id="1"/>
      <w:bookmarkEnd w:id="2"/>
    </w:p>
    <w:p w:rsidR="00FD3F28" w:rsidRPr="00B708C0" w:rsidRDefault="00FD3F28" w:rsidP="00FD3F28">
      <w:pPr>
        <w:pBdr>
          <w:top w:val="single" w:sz="4" w:space="1" w:color="auto"/>
        </w:pBdr>
        <w:shd w:val="clear" w:color="auto" w:fill="E0E0E0"/>
        <w:ind w:right="21"/>
        <w:jc w:val="center"/>
        <w:rPr>
          <w:b/>
          <w:spacing w:val="36"/>
          <w:sz w:val="20"/>
        </w:rPr>
      </w:pPr>
      <w:r w:rsidRPr="00B708C0">
        <w:rPr>
          <w:b/>
          <w:spacing w:val="36"/>
          <w:sz w:val="20"/>
        </w:rPr>
        <w:t>начало формы</w:t>
      </w:r>
    </w:p>
    <w:p w:rsidR="00FD3F28" w:rsidRDefault="00FD3F28" w:rsidP="00FD3F28">
      <w:pPr>
        <w:pStyle w:val="ConsPlusNonformat"/>
        <w:jc w:val="center"/>
        <w:rPr>
          <w:rFonts w:ascii="Times New Roman" w:hAnsi="Times New Roman" w:cs="Times New Roman"/>
          <w:b/>
        </w:rPr>
      </w:pPr>
    </w:p>
    <w:p w:rsidR="00FD3F28" w:rsidRPr="002F0CC1" w:rsidRDefault="00FD3F28" w:rsidP="00FD3F28">
      <w:pPr>
        <w:pStyle w:val="consplusnonformat0"/>
        <w:spacing w:before="0" w:beforeAutospacing="0" w:after="0" w:afterAutospacing="0"/>
        <w:ind w:right="-54"/>
        <w:jc w:val="center"/>
        <w:rPr>
          <w:b/>
        </w:rPr>
      </w:pPr>
      <w:r w:rsidRPr="002F0CC1">
        <w:rPr>
          <w:b/>
        </w:rPr>
        <w:t>Соглашение об охране информации, составляющей коммерческую тайну, с участниками закупочной процедуры</w:t>
      </w:r>
    </w:p>
    <w:p w:rsidR="00FD3F28" w:rsidRPr="00FC0B0A" w:rsidRDefault="00FD3F28" w:rsidP="00FD3F28">
      <w:pPr>
        <w:pStyle w:val="consplusnonformat0"/>
        <w:spacing w:before="0" w:beforeAutospacing="0" w:after="0" w:afterAutospacing="0"/>
        <w:ind w:right="-54"/>
        <w:jc w:val="right"/>
      </w:pPr>
    </w:p>
    <w:p w:rsidR="00FD3F28" w:rsidRDefault="00FD3F28" w:rsidP="00FD3F28">
      <w:pPr>
        <w:rPr>
          <w:b/>
        </w:rPr>
      </w:pPr>
      <w:r w:rsidRPr="008B3548">
        <w:rPr>
          <w:b/>
        </w:rPr>
        <w:t>№ _________ от « ___ » _________ 20 __ г.</w:t>
      </w:r>
    </w:p>
    <w:p w:rsidR="00FD3F28" w:rsidRPr="008B3548" w:rsidRDefault="00FD3F28" w:rsidP="00FD3F28">
      <w:pPr>
        <w:rPr>
          <w:color w:val="000000"/>
        </w:rPr>
      </w:pPr>
    </w:p>
    <w:tbl>
      <w:tblPr>
        <w:tblW w:w="0" w:type="auto"/>
        <w:tblLook w:val="0000"/>
      </w:tblPr>
      <w:tblGrid>
        <w:gridCol w:w="4782"/>
        <w:gridCol w:w="4789"/>
      </w:tblGrid>
      <w:tr w:rsidR="00FD3F28" w:rsidRPr="001A4BCE" w:rsidTr="009508DA">
        <w:tc>
          <w:tcPr>
            <w:tcW w:w="4928" w:type="dxa"/>
          </w:tcPr>
          <w:p w:rsidR="00FD3F28" w:rsidRPr="008B3548" w:rsidRDefault="00FD3F28" w:rsidP="009508DA">
            <w:pPr>
              <w:widowControl w:val="0"/>
            </w:pPr>
            <w:r w:rsidRPr="008B3548">
              <w:t xml:space="preserve">г. </w:t>
            </w:r>
            <w:r>
              <w:t>Сургут</w:t>
            </w:r>
          </w:p>
        </w:tc>
        <w:tc>
          <w:tcPr>
            <w:tcW w:w="4928" w:type="dxa"/>
          </w:tcPr>
          <w:p w:rsidR="00FD3F28" w:rsidRPr="008B3548" w:rsidRDefault="00FD3F28" w:rsidP="009508DA">
            <w:pPr>
              <w:widowControl w:val="0"/>
              <w:jc w:val="right"/>
            </w:pPr>
            <w:r w:rsidRPr="008B3548">
              <w:t>« ___ » _______ 20__ г.</w:t>
            </w:r>
          </w:p>
        </w:tc>
      </w:tr>
    </w:tbl>
    <w:p w:rsidR="00FD3F28" w:rsidRDefault="00FD3F28" w:rsidP="00FD3F28">
      <w:pPr>
        <w:rPr>
          <w:color w:val="000000"/>
        </w:rPr>
      </w:pPr>
    </w:p>
    <w:p w:rsidR="00FD3F28" w:rsidRPr="008B3548" w:rsidRDefault="00FD3F28" w:rsidP="00FD3F28">
      <w:proofErr w:type="gramStart"/>
      <w:r>
        <w:t>Открытое</w:t>
      </w:r>
      <w:r w:rsidRPr="008B3548">
        <w:t xml:space="preserve"> акционерно</w:t>
      </w:r>
      <w:r>
        <w:t>е</w:t>
      </w:r>
      <w:r w:rsidRPr="008B3548">
        <w:t xml:space="preserve"> обществ</w:t>
      </w:r>
      <w:r>
        <w:t>о</w:t>
      </w:r>
      <w:r w:rsidRPr="008B3548">
        <w:t xml:space="preserve"> энергетики и электрификации «</w:t>
      </w:r>
      <w:proofErr w:type="spellStart"/>
      <w:r w:rsidRPr="008B3548">
        <w:t>Тюменьэнерго</w:t>
      </w:r>
      <w:proofErr w:type="spellEnd"/>
      <w:r w:rsidRPr="008B3548">
        <w:t>» (ОАО «</w:t>
      </w:r>
      <w:proofErr w:type="spellStart"/>
      <w:r w:rsidRPr="008B3548">
        <w:t>Тюменьэнерго</w:t>
      </w:r>
      <w:proofErr w:type="spellEnd"/>
      <w:r w:rsidRPr="008B3548">
        <w:t xml:space="preserve">») в лице </w:t>
      </w:r>
      <w:r>
        <w:t xml:space="preserve">заместителя генерального директора по безопасности </w:t>
      </w:r>
      <w:proofErr w:type="spellStart"/>
      <w:r>
        <w:t>Квачадзе</w:t>
      </w:r>
      <w:proofErr w:type="spellEnd"/>
      <w:r>
        <w:t xml:space="preserve"> Сергея Юрьевича, </w:t>
      </w:r>
      <w:r w:rsidRPr="008B3548">
        <w:t xml:space="preserve">действующего на основании </w:t>
      </w:r>
      <w:r w:rsidRPr="008B3548">
        <w:rPr>
          <w:bCs/>
          <w:iCs/>
        </w:rPr>
        <w:t>доверенности</w:t>
      </w:r>
      <w:r>
        <w:rPr>
          <w:bCs/>
          <w:iCs/>
        </w:rPr>
        <w:t xml:space="preserve"> от 27.08.2012        № ТЭ-05/2012, и </w:t>
      </w:r>
      <w:r>
        <w:t>_______________ (________)</w:t>
      </w:r>
      <w:r w:rsidRPr="008B3548">
        <w:t xml:space="preserve">, в лице </w:t>
      </w:r>
      <w:r>
        <w:t>_________________,</w:t>
      </w:r>
      <w:r w:rsidRPr="008B3548">
        <w:t xml:space="preserve"> действующего на основа</w:t>
      </w:r>
      <w:r w:rsidRPr="008B3548">
        <w:softHyphen/>
        <w:t xml:space="preserve">нии </w:t>
      </w:r>
      <w:r>
        <w:t>__________</w:t>
      </w:r>
      <w:r w:rsidRPr="008B3548">
        <w:t>, далее совместно именуемые «Стороны», а по отдельности - «Сторона», заключили настоящее Соглашение об охране информации, составляющей коммерческую тайну, собственниками которой являются договаривающиеся Стороны.</w:t>
      </w:r>
      <w:proofErr w:type="gramEnd"/>
    </w:p>
    <w:p w:rsidR="00FD3F28" w:rsidRPr="008B3548" w:rsidRDefault="00FD3F28" w:rsidP="00FD3F28">
      <w:pPr>
        <w:widowControl w:val="0"/>
        <w:shd w:val="clear" w:color="auto" w:fill="FFFFFF"/>
      </w:pPr>
      <w:r w:rsidRPr="008B3548">
        <w:t>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FD3F28" w:rsidRPr="008B3548" w:rsidRDefault="00FD3F28" w:rsidP="00FD3F28">
      <w:pPr>
        <w:widowControl w:val="0"/>
        <w:shd w:val="clear" w:color="auto" w:fill="FFFFFF"/>
      </w:pPr>
      <w:r w:rsidRPr="008B3548">
        <w:t>Под разглашением информации, составляющей коммерческую тайну, понимается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FD3F28" w:rsidRDefault="00FD3F28" w:rsidP="00FD3F28">
      <w:pPr>
        <w:autoSpaceDE w:val="0"/>
        <w:autoSpaceDN w:val="0"/>
        <w:adjustRightInd w:val="0"/>
        <w:rPr>
          <w:color w:val="000000"/>
        </w:rPr>
      </w:pPr>
      <w:r w:rsidRPr="008B3548">
        <w:rPr>
          <w:color w:val="000000"/>
        </w:rPr>
        <w:t>Стороны обязуются без взаимного предварительного письменного согласования не разгла</w:t>
      </w:r>
      <w:r>
        <w:rPr>
          <w:color w:val="000000"/>
        </w:rPr>
        <w:t>шать третьим лицам</w:t>
      </w:r>
      <w:r w:rsidRPr="008B3548">
        <w:rPr>
          <w:color w:val="000000"/>
        </w:rPr>
        <w:t xml:space="preserve"> конфиденциальную информацию, полученную в ходе процедуры по </w:t>
      </w:r>
      <w:r>
        <w:rPr>
          <w:color w:val="000000"/>
        </w:rPr>
        <w:t>открытому конкурсу</w:t>
      </w:r>
      <w:r w:rsidRPr="008B3548">
        <w:rPr>
          <w:color w:val="000000"/>
        </w:rPr>
        <w:t xml:space="preserve"> (далее – Процедура). Срок неразглашения такой конфиденциальной информации устанавливается Сторонами в течение </w:t>
      </w:r>
      <w:r>
        <w:rPr>
          <w:color w:val="000000"/>
        </w:rPr>
        <w:t>трех лет</w:t>
      </w:r>
      <w:r w:rsidRPr="008B3548">
        <w:rPr>
          <w:color w:val="000000"/>
        </w:rPr>
        <w:t xml:space="preserve"> с момента проведения Процедуры.</w:t>
      </w:r>
    </w:p>
    <w:p w:rsidR="00FD3F28" w:rsidRPr="008B3548" w:rsidRDefault="00FD3F28" w:rsidP="00FD3F28">
      <w:pPr>
        <w:autoSpaceDE w:val="0"/>
        <w:autoSpaceDN w:val="0"/>
        <w:adjustRightInd w:val="0"/>
      </w:pPr>
      <w:proofErr w:type="gramStart"/>
      <w:r w:rsidRPr="00800B3B">
        <w:t xml:space="preserve">Стороны обязуются не использовать незаконно конфиденциальную информацию, </w:t>
      </w:r>
      <w:r>
        <w:t xml:space="preserve">полученную в ходе Процедуры, </w:t>
      </w:r>
      <w:r w:rsidRPr="00800B3B">
        <w:t>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w:t>
      </w:r>
      <w:r w:rsidRPr="00800B3B">
        <w:rPr>
          <w:bCs/>
        </w:rPr>
        <w:t xml:space="preserve"> третьими лицами, в том числе органами государственной власти, иными государственными  органами, органами местного самоуправления</w:t>
      </w:r>
      <w:r>
        <w:rPr>
          <w:bCs/>
        </w:rPr>
        <w:t>.</w:t>
      </w:r>
      <w:proofErr w:type="gramEnd"/>
    </w:p>
    <w:p w:rsidR="00FD3F28" w:rsidRPr="008B3548" w:rsidRDefault="00FD3F28" w:rsidP="00FD3F28">
      <w:pPr>
        <w:autoSpaceDE w:val="0"/>
        <w:autoSpaceDN w:val="0"/>
        <w:adjustRightInd w:val="0"/>
        <w:rPr>
          <w:color w:val="000000"/>
        </w:rPr>
      </w:pPr>
      <w:r w:rsidRPr="008B3548">
        <w:rPr>
          <w:color w:val="000000"/>
        </w:rPr>
        <w:t>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полученной в ходе Процедуры.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FD3F28" w:rsidRPr="008B3548" w:rsidRDefault="00FD3F28" w:rsidP="00FD3F28">
      <w:r w:rsidRPr="008B3548">
        <w:rPr>
          <w:color w:val="000000"/>
        </w:rPr>
        <w:t>За разглашение конфиденциальной информации Сторона, нарушившая обязательства предусмотренные настоящим Соглашением, обязана возместить потерпевшей Стороне причиненные убытки в соответствии с действующим законодательством Российской Федерации.</w:t>
      </w:r>
    </w:p>
    <w:p w:rsidR="00FD3F28" w:rsidRDefault="00FD3F28" w:rsidP="00FD3F28">
      <w:pPr>
        <w:jc w:val="center"/>
      </w:pPr>
    </w:p>
    <w:p w:rsidR="00FD3F28" w:rsidRPr="00CF0E53" w:rsidRDefault="00FD3F28" w:rsidP="00FD3F28">
      <w:pPr>
        <w:jc w:val="center"/>
      </w:pPr>
      <w:r w:rsidRPr="00CF0E53">
        <w:t>Подписи Сторон:</w:t>
      </w:r>
    </w:p>
    <w:tbl>
      <w:tblPr>
        <w:tblW w:w="9856" w:type="dxa"/>
        <w:tblLook w:val="0000"/>
      </w:tblPr>
      <w:tblGrid>
        <w:gridCol w:w="4928"/>
        <w:gridCol w:w="4928"/>
      </w:tblGrid>
      <w:tr w:rsidR="00FD3F28" w:rsidRPr="00A107A2" w:rsidTr="009508DA">
        <w:tc>
          <w:tcPr>
            <w:tcW w:w="4928" w:type="dxa"/>
          </w:tcPr>
          <w:p w:rsidR="00FD3F28" w:rsidRPr="00A107A2" w:rsidRDefault="00FD3F28" w:rsidP="009508DA">
            <w:pPr>
              <w:widowControl w:val="0"/>
            </w:pPr>
          </w:p>
          <w:p w:rsidR="00FD3F28" w:rsidRPr="00A107A2" w:rsidRDefault="00FD3F28" w:rsidP="009508DA">
            <w:pPr>
              <w:widowControl w:val="0"/>
              <w:rPr>
                <w:b/>
              </w:rPr>
            </w:pPr>
            <w:r w:rsidRPr="00A107A2">
              <w:rPr>
                <w:b/>
              </w:rPr>
              <w:t>ОАО «</w:t>
            </w:r>
            <w:proofErr w:type="spellStart"/>
            <w:r w:rsidRPr="00A107A2">
              <w:rPr>
                <w:b/>
              </w:rPr>
              <w:t>Тюменьэнерго</w:t>
            </w:r>
            <w:proofErr w:type="spellEnd"/>
            <w:r w:rsidRPr="00A107A2">
              <w:rPr>
                <w:b/>
              </w:rPr>
              <w:t>»</w:t>
            </w:r>
          </w:p>
          <w:p w:rsidR="00FD3F28" w:rsidRPr="00A107A2" w:rsidRDefault="00FD3F28" w:rsidP="009508DA">
            <w:pPr>
              <w:widowControl w:val="0"/>
            </w:pPr>
          </w:p>
          <w:p w:rsidR="00FD3F28" w:rsidRPr="00A107A2" w:rsidRDefault="00FD3F28" w:rsidP="009508DA">
            <w:pPr>
              <w:widowControl w:val="0"/>
            </w:pPr>
            <w:r w:rsidRPr="00A107A2">
              <w:t xml:space="preserve">______________________ </w:t>
            </w:r>
            <w:r>
              <w:t>Ф.И.О.</w:t>
            </w:r>
          </w:p>
        </w:tc>
        <w:tc>
          <w:tcPr>
            <w:tcW w:w="4928" w:type="dxa"/>
          </w:tcPr>
          <w:p w:rsidR="00FD3F28" w:rsidRDefault="00FD3F28" w:rsidP="009508DA">
            <w:pPr>
              <w:widowControl w:val="0"/>
              <w:rPr>
                <w:b/>
              </w:rPr>
            </w:pPr>
          </w:p>
          <w:p w:rsidR="00FD3F28" w:rsidRPr="00A107A2" w:rsidRDefault="00FD3F28" w:rsidP="009508DA">
            <w:pPr>
              <w:widowControl w:val="0"/>
              <w:rPr>
                <w:b/>
              </w:rPr>
            </w:pPr>
            <w:r>
              <w:rPr>
                <w:b/>
              </w:rPr>
              <w:t>Подрядчик</w:t>
            </w:r>
          </w:p>
          <w:p w:rsidR="00FD3F28" w:rsidRPr="00A107A2" w:rsidRDefault="00FD3F28" w:rsidP="009508DA">
            <w:pPr>
              <w:widowControl w:val="0"/>
            </w:pPr>
          </w:p>
          <w:p w:rsidR="00FD3F28" w:rsidRPr="00A107A2" w:rsidRDefault="00FD3F28" w:rsidP="009508DA">
            <w:pPr>
              <w:widowControl w:val="0"/>
            </w:pPr>
            <w:r w:rsidRPr="00A107A2">
              <w:t xml:space="preserve">_______________________ </w:t>
            </w:r>
            <w:r>
              <w:t>Ф.И.О.</w:t>
            </w:r>
          </w:p>
        </w:tc>
      </w:tr>
    </w:tbl>
    <w:p w:rsidR="00FD3F28" w:rsidRDefault="00FD3F28" w:rsidP="00FD3F28">
      <w:pPr>
        <w:pBdr>
          <w:bottom w:val="single" w:sz="4" w:space="1" w:color="auto"/>
        </w:pBdr>
        <w:shd w:val="clear" w:color="auto" w:fill="E0E0E0"/>
        <w:ind w:right="21"/>
        <w:jc w:val="center"/>
      </w:pPr>
      <w:r>
        <w:rPr>
          <w:b/>
          <w:color w:val="000000"/>
          <w:spacing w:val="36"/>
        </w:rPr>
        <w:t>конец формы</w:t>
      </w:r>
    </w:p>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395C"/>
    <w:multiLevelType w:val="multilevel"/>
    <w:tmpl w:val="6CE64A7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1674"/>
        </w:tabs>
        <w:ind w:left="360" w:firstLine="180"/>
      </w:pPr>
      <w:rPr>
        <w:rFonts w:hint="default"/>
        <w:b w:val="0"/>
        <w:i w:val="0"/>
        <w:color w:val="auto"/>
        <w:sz w:val="24"/>
      </w:rPr>
    </w:lvl>
    <w:lvl w:ilvl="3">
      <w:start w:val="1"/>
      <w:numFmt w:val="decimal"/>
      <w:pStyle w:val="a0"/>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F28"/>
    <w:rsid w:val="002B35EF"/>
    <w:rsid w:val="00B23AFA"/>
    <w:rsid w:val="00DE45B9"/>
    <w:rsid w:val="00F4183F"/>
    <w:rsid w:val="00FD3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35EF"/>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1"/>
    <w:next w:val="a1"/>
    <w:link w:val="10"/>
    <w:qFormat/>
    <w:rsid w:val="00FD3F28"/>
    <w:pPr>
      <w:keepNext/>
      <w:keepLines/>
      <w:pageBreakBefore/>
      <w:numPr>
        <w:numId w:val="1"/>
      </w:numPr>
      <w:suppressAutoHyphens/>
      <w:spacing w:before="480" w:after="240"/>
      <w:jc w:val="left"/>
      <w:outlineLvl w:val="0"/>
    </w:pPr>
    <w:rPr>
      <w:rFonts w:ascii="Arial" w:eastAsia="Times New Roman" w:hAnsi="Arial" w:cs="Times New Roman"/>
      <w:b/>
      <w:kern w:val="28"/>
      <w:sz w:val="40"/>
      <w:szCs w:val="20"/>
      <w:lang w:eastAsia="ru-RU"/>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1"/>
    <w:next w:val="a1"/>
    <w:link w:val="20"/>
    <w:qFormat/>
    <w:rsid w:val="00FD3F28"/>
    <w:pPr>
      <w:keepNext/>
      <w:numPr>
        <w:ilvl w:val="1"/>
        <w:numId w:val="1"/>
      </w:numPr>
      <w:suppressAutoHyphens/>
      <w:spacing w:before="360" w:after="120"/>
      <w:jc w:val="left"/>
      <w:outlineLvl w:val="1"/>
    </w:pPr>
    <w:rPr>
      <w:rFonts w:ascii="Times New Roman" w:eastAsia="Times New Roman" w:hAnsi="Times New Roman" w:cs="Times New Roman"/>
      <w:b/>
      <w:snapToGrid w:val="0"/>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userlinkmenu">
    <w:name w:val="userlink_menu"/>
    <w:basedOn w:val="a2"/>
    <w:rsid w:val="00FD3F28"/>
  </w:style>
  <w:style w:type="character" w:customStyle="1" w:styleId="10">
    <w:name w:val="Заголовок 1 Знак"/>
    <w:basedOn w:val="a2"/>
    <w:link w:val="1"/>
    <w:rsid w:val="00FD3F28"/>
    <w:rPr>
      <w:rFonts w:ascii="Arial" w:eastAsia="Times New Roman" w:hAnsi="Arial" w:cs="Times New Roman"/>
      <w:b/>
      <w:kern w:val="28"/>
      <w:sz w:val="40"/>
      <w:szCs w:val="20"/>
      <w:lang w:eastAsia="ru-RU"/>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2"/>
    <w:link w:val="2"/>
    <w:rsid w:val="00FD3F28"/>
    <w:rPr>
      <w:rFonts w:ascii="Times New Roman" w:eastAsia="Times New Roman" w:hAnsi="Times New Roman" w:cs="Times New Roman"/>
      <w:b/>
      <w:snapToGrid w:val="0"/>
      <w:sz w:val="32"/>
      <w:szCs w:val="20"/>
      <w:lang w:eastAsia="ru-RU"/>
    </w:rPr>
  </w:style>
  <w:style w:type="paragraph" w:customStyle="1" w:styleId="a0">
    <w:name w:val="Подпункт"/>
    <w:basedOn w:val="a"/>
    <w:rsid w:val="00FD3F28"/>
    <w:pPr>
      <w:numPr>
        <w:ilvl w:val="3"/>
      </w:numPr>
    </w:pPr>
  </w:style>
  <w:style w:type="paragraph" w:customStyle="1" w:styleId="a">
    <w:name w:val="Пункт"/>
    <w:basedOn w:val="a1"/>
    <w:rsid w:val="00FD3F28"/>
    <w:pPr>
      <w:numPr>
        <w:ilvl w:val="2"/>
        <w:numId w:val="1"/>
      </w:numPr>
      <w:spacing w:line="360" w:lineRule="auto"/>
    </w:pPr>
    <w:rPr>
      <w:rFonts w:ascii="Times New Roman" w:eastAsia="Times New Roman" w:hAnsi="Times New Roman" w:cs="Times New Roman"/>
      <w:snapToGrid w:val="0"/>
      <w:sz w:val="28"/>
      <w:szCs w:val="20"/>
      <w:lang w:eastAsia="ru-RU"/>
    </w:rPr>
  </w:style>
  <w:style w:type="paragraph" w:customStyle="1" w:styleId="ConsPlusNonformat">
    <w:name w:val="ConsPlusNonformat"/>
    <w:uiPriority w:val="99"/>
    <w:rsid w:val="00FD3F28"/>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nonformat0">
    <w:name w:val="consplusnonformat"/>
    <w:basedOn w:val="a1"/>
    <w:rsid w:val="00FD3F2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mrsk.ru/download.html?file=file%2F4147657.docx&amp;title=%D0%A1%D0%BE%D0%B3%D0%BB%D0%B0%D1%88-%D0%B5+%D0%BE%D0%B1+%D0%BE%D1%85%D1%80%D0%B0%D0%BD%D0%B5+%D0%B8%D0%BD%D1%84-%D1%86%D0%B8%D0%B8.docx" TargetMode="External"/><Relationship Id="rId5" Type="http://schemas.openxmlformats.org/officeDocument/2006/relationships/hyperlink" Target="http://www.b2b-mrsk.ru/market/view_tender.html?id=33814&amp;action=explan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Company>OAO TE</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2013-01-28T11:17:00Z</dcterms:created>
  <dcterms:modified xsi:type="dcterms:W3CDTF">2013-01-28T11:18:00Z</dcterms:modified>
</cp:coreProperties>
</file>