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3F" w:rsidRPr="00FE583F" w:rsidRDefault="00FE583F" w:rsidP="00FE583F">
      <w:pPr>
        <w:numPr>
          <w:ilvl w:val="0"/>
          <w:numId w:val="1"/>
        </w:numPr>
        <w:pBdr>
          <w:top w:val="single" w:sz="6" w:space="2" w:color="4878B2"/>
          <w:left w:val="single" w:sz="6" w:space="8" w:color="4878B2"/>
          <w:bottom w:val="single" w:sz="2" w:space="0" w:color="4878B2"/>
          <w:right w:val="single" w:sz="6" w:space="8" w:color="4878B2"/>
        </w:pBdr>
        <w:shd w:val="clear" w:color="auto" w:fill="FFFFFF"/>
        <w:spacing w:after="0" w:line="240" w:lineRule="atLeast"/>
        <w:ind w:left="-225"/>
        <w:rPr>
          <w:rFonts w:ascii="Arial" w:eastAsia="Times New Roman" w:hAnsi="Arial" w:cs="Arial"/>
          <w:b/>
          <w:bCs/>
          <w:color w:val="666666"/>
          <w:sz w:val="17"/>
          <w:szCs w:val="17"/>
          <w:lang w:eastAsia="ru-RU"/>
        </w:rPr>
      </w:pPr>
      <w:r w:rsidRPr="00FE583F">
        <w:rPr>
          <w:rFonts w:ascii="Arial" w:eastAsia="Times New Roman" w:hAnsi="Arial" w:cs="Arial"/>
          <w:b/>
          <w:bCs/>
          <w:color w:val="666666"/>
          <w:sz w:val="17"/>
          <w:szCs w:val="17"/>
          <w:lang w:eastAsia="ru-RU"/>
        </w:rPr>
        <w:fldChar w:fldCharType="begin"/>
      </w:r>
      <w:r w:rsidRPr="00FE583F">
        <w:rPr>
          <w:rFonts w:ascii="Arial" w:eastAsia="Times New Roman" w:hAnsi="Arial" w:cs="Arial"/>
          <w:b/>
          <w:bCs/>
          <w:color w:val="666666"/>
          <w:sz w:val="17"/>
          <w:szCs w:val="17"/>
          <w:lang w:eastAsia="ru-RU"/>
        </w:rPr>
        <w:instrText xml:space="preserve"> HYPERLINK "https://zakupki.gov.ru/223/purchase/private/purchase/notice-info/common-info.html?noticeInfoId=9329892&amp;purchaseMethodType=KESMBO" </w:instrText>
      </w:r>
      <w:r w:rsidRPr="00FE583F">
        <w:rPr>
          <w:rFonts w:ascii="Arial" w:eastAsia="Times New Roman" w:hAnsi="Arial" w:cs="Arial"/>
          <w:b/>
          <w:bCs/>
          <w:color w:val="666666"/>
          <w:sz w:val="17"/>
          <w:szCs w:val="17"/>
          <w:lang w:eastAsia="ru-RU"/>
        </w:rPr>
        <w:fldChar w:fldCharType="separate"/>
      </w:r>
      <w:r w:rsidRPr="00FE583F">
        <w:rPr>
          <w:rFonts w:ascii="Arial" w:eastAsia="Times New Roman" w:hAnsi="Arial" w:cs="Arial"/>
          <w:b/>
          <w:bCs/>
          <w:color w:val="4878B2"/>
          <w:sz w:val="17"/>
          <w:szCs w:val="17"/>
          <w:lang w:eastAsia="ru-RU"/>
        </w:rPr>
        <w:t>Общая информация</w:t>
      </w:r>
      <w:r w:rsidRPr="00FE583F">
        <w:rPr>
          <w:rFonts w:ascii="Arial" w:eastAsia="Times New Roman" w:hAnsi="Arial" w:cs="Arial"/>
          <w:b/>
          <w:bCs/>
          <w:color w:val="666666"/>
          <w:sz w:val="17"/>
          <w:szCs w:val="17"/>
          <w:lang w:eastAsia="ru-RU"/>
        </w:rPr>
        <w:fldChar w:fldCharType="end"/>
      </w:r>
      <w:r w:rsidRPr="00FE583F">
        <w:rPr>
          <w:rFonts w:ascii="Arial" w:eastAsia="Times New Roman" w:hAnsi="Arial" w:cs="Arial"/>
          <w:b/>
          <w:bCs/>
          <w:color w:val="666666"/>
          <w:sz w:val="17"/>
          <w:szCs w:val="17"/>
          <w:lang w:eastAsia="ru-RU"/>
        </w:rPr>
        <w:t xml:space="preserve"> </w:t>
      </w:r>
    </w:p>
    <w:p w:rsidR="00FE583F" w:rsidRPr="00FE583F" w:rsidRDefault="00FE583F" w:rsidP="00FE583F">
      <w:pPr>
        <w:numPr>
          <w:ilvl w:val="0"/>
          <w:numId w:val="1"/>
        </w:numPr>
        <w:pBdr>
          <w:top w:val="single" w:sz="6" w:space="1" w:color="4878B2"/>
          <w:left w:val="single" w:sz="6" w:space="8" w:color="4878B2"/>
          <w:bottom w:val="single" w:sz="6" w:space="2" w:color="4878B2"/>
          <w:right w:val="single" w:sz="6" w:space="8" w:color="4878B2"/>
        </w:pBdr>
        <w:shd w:val="clear" w:color="auto" w:fill="C8D6E6"/>
        <w:spacing w:before="15" w:after="0" w:line="240" w:lineRule="atLeast"/>
        <w:ind w:left="-225"/>
        <w:rPr>
          <w:rFonts w:ascii="Arial" w:eastAsia="Times New Roman" w:hAnsi="Arial" w:cs="Arial"/>
          <w:color w:val="4878C3"/>
          <w:sz w:val="17"/>
          <w:szCs w:val="17"/>
          <w:lang w:eastAsia="ru-RU"/>
        </w:rPr>
      </w:pPr>
      <w:hyperlink r:id="rId5" w:history="1">
        <w:r w:rsidRPr="00FE583F">
          <w:rPr>
            <w:rFonts w:ascii="Arial" w:eastAsia="Times New Roman" w:hAnsi="Arial" w:cs="Arial"/>
            <w:b/>
            <w:bCs/>
            <w:color w:val="4878B2"/>
            <w:sz w:val="17"/>
            <w:szCs w:val="17"/>
            <w:lang w:eastAsia="ru-RU"/>
          </w:rPr>
          <w:t>Список лотов</w:t>
        </w:r>
      </w:hyperlink>
      <w:r w:rsidRPr="00FE583F">
        <w:rPr>
          <w:rFonts w:ascii="Arial" w:eastAsia="Times New Roman" w:hAnsi="Arial" w:cs="Arial"/>
          <w:color w:val="4878C3"/>
          <w:sz w:val="17"/>
          <w:szCs w:val="17"/>
          <w:lang w:eastAsia="ru-RU"/>
        </w:rPr>
        <w:t xml:space="preserve"> </w:t>
      </w:r>
    </w:p>
    <w:p w:rsidR="00FE583F" w:rsidRPr="00FE583F" w:rsidRDefault="00FE583F" w:rsidP="00FE583F">
      <w:pPr>
        <w:numPr>
          <w:ilvl w:val="0"/>
          <w:numId w:val="1"/>
        </w:numPr>
        <w:pBdr>
          <w:top w:val="single" w:sz="6" w:space="1" w:color="4878B2"/>
          <w:left w:val="single" w:sz="6" w:space="8" w:color="4878B2"/>
          <w:bottom w:val="single" w:sz="6" w:space="2" w:color="4878B2"/>
          <w:right w:val="single" w:sz="6" w:space="8" w:color="4878B2"/>
        </w:pBdr>
        <w:shd w:val="clear" w:color="auto" w:fill="C8D6E6"/>
        <w:spacing w:before="15" w:after="0" w:line="240" w:lineRule="atLeast"/>
        <w:ind w:left="-225"/>
        <w:rPr>
          <w:rFonts w:ascii="Arial" w:eastAsia="Times New Roman" w:hAnsi="Arial" w:cs="Arial"/>
          <w:color w:val="4878C3"/>
          <w:sz w:val="17"/>
          <w:szCs w:val="17"/>
          <w:lang w:eastAsia="ru-RU"/>
        </w:rPr>
      </w:pPr>
      <w:hyperlink r:id="rId6" w:history="1">
        <w:r w:rsidRPr="00FE583F">
          <w:rPr>
            <w:rFonts w:ascii="Arial" w:eastAsia="Times New Roman" w:hAnsi="Arial" w:cs="Arial"/>
            <w:b/>
            <w:bCs/>
            <w:color w:val="4878B2"/>
            <w:sz w:val="17"/>
            <w:szCs w:val="17"/>
            <w:lang w:eastAsia="ru-RU"/>
          </w:rPr>
          <w:t>Документы закупки</w:t>
        </w:r>
      </w:hyperlink>
      <w:r w:rsidRPr="00FE583F">
        <w:rPr>
          <w:rFonts w:ascii="Arial" w:eastAsia="Times New Roman" w:hAnsi="Arial" w:cs="Arial"/>
          <w:color w:val="4878C3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E583F" w:rsidRPr="00FE583F" w:rsidRDefault="00FE583F" w:rsidP="00FE583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Общие сведения о закупке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78C3"/>
                <w:sz w:val="17"/>
                <w:szCs w:val="17"/>
                <w:lang w:eastAsia="ru-RU"/>
              </w:rPr>
              <w:pict/>
            </w: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Реестровый номер извещения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31907627994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Конкурс в электронной форме, участниками которого могут быть только субъекты малого и среднего предпринимательства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Реконструкция РЗА ПС 110/35/6кВ </w:t>
            </w:r>
            <w:proofErr w:type="spellStart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Лазаревская</w:t>
            </w:r>
            <w:proofErr w:type="spellEnd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, ПС 110/35/6кВ </w:t>
            </w:r>
            <w:proofErr w:type="spellStart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Яхлинская</w:t>
            </w:r>
            <w:proofErr w:type="spellEnd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, ПС 110/10кВ Советская, ПС 110/10кВ </w:t>
            </w:r>
            <w:proofErr w:type="spellStart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Шаим</w:t>
            </w:r>
            <w:proofErr w:type="spellEnd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 (замена защит на микропроцессорные устройства РЗА) для филиала АО "</w:t>
            </w:r>
            <w:proofErr w:type="spellStart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Тюменьэнерго</w:t>
            </w:r>
            <w:proofErr w:type="spellEnd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" Урайские электрические сети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gridSpan w:val="2"/>
            <w:hideMark/>
          </w:tcPr>
          <w:p w:rsidR="00FE583F" w:rsidRPr="00FE583F" w:rsidRDefault="00FE583F" w:rsidP="00FE583F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20.05pt;height:18.15pt" o:ole="">
                  <v:imagedata r:id="rId7" o:title=""/>
                </v:shape>
                <w:control r:id="rId8" w:name="DefaultOcxName" w:shapeid="_x0000_i1035"/>
              </w:object>
            </w:r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gridSpan w:val="2"/>
            <w:hideMark/>
          </w:tcPr>
          <w:p w:rsidR="00FE583F" w:rsidRPr="00FE583F" w:rsidRDefault="00FE583F" w:rsidP="00FE583F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225" w:dyaOrig="225">
                <v:shape id="_x0000_i1034" type="#_x0000_t75" style="width:20.05pt;height:18.15pt" o:ole="">
                  <v:imagedata r:id="rId7" o:title=""/>
                </v:shape>
                <w:control r:id="rId9" w:name="DefaultOcxName1" w:shapeid="_x0000_i1034"/>
              </w:object>
            </w:r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Вынесено решение антимонопольного органа по результатам обжалования действия (бездействия) заказчика, комиссии по осуществлению конкурентной закупки, оператора электронной площадки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Редакция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2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Причина внесения изменений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Внесение изменений в документацию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принятия решения о внесении изменений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22.03.2019 </w:t>
            </w:r>
            <w:r w:rsidRPr="00FE583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12.03.2019 </w:t>
            </w:r>
            <w:r w:rsidRPr="00FE583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размещения текущей редакции извещения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22.03.2019 </w:t>
            </w:r>
            <w:r w:rsidRPr="00FE583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10" w:tgtFrame="_blank" w:tooltip="http://roseltorg.ru" w:history="1">
              <w:r w:rsidRPr="00FE583F">
                <w:rPr>
                  <w:rFonts w:ascii="Arial" w:eastAsia="Times New Roman" w:hAnsi="Arial" w:cs="Arial"/>
                  <w:color w:val="0060A4"/>
                  <w:sz w:val="17"/>
                  <w:szCs w:val="17"/>
                  <w:lang w:eastAsia="ru-RU"/>
                </w:rPr>
                <w:t>http://roseltorg.ru</w:t>
              </w:r>
            </w:hyperlink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https://msp.roseltorg.ru/#notice/42778</w:t>
            </w:r>
          </w:p>
        </w:tc>
      </w:tr>
    </w:tbl>
    <w:p w:rsidR="00FE583F" w:rsidRPr="00FE583F" w:rsidRDefault="00FE583F" w:rsidP="00FE583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E583F" w:rsidRPr="00FE583F" w:rsidRDefault="00FE583F" w:rsidP="00FE583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Сведения о заказчике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11" w:history="1">
              <w:r w:rsidRPr="00FE583F">
                <w:rPr>
                  <w:rFonts w:ascii="Arial" w:eastAsia="Times New Roman" w:hAnsi="Arial" w:cs="Arial"/>
                  <w:color w:val="006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8602060185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860201001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ОГРН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1028600587399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Место нахождения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ДОМ</w:t>
            </w:r>
            <w:proofErr w:type="spellEnd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 4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FE583F" w:rsidRPr="00FE583F" w:rsidRDefault="00FE583F" w:rsidP="00FE583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822"/>
      </w:tblGrid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83F" w:rsidRPr="00FE583F" w:rsidRDefault="00FE583F" w:rsidP="00FE583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Требования к участникам закупки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hideMark/>
          </w:tcPr>
          <w:p w:rsidR="00FE583F" w:rsidRPr="00FE583F" w:rsidRDefault="00FE583F" w:rsidP="00FE583F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225" w:dyaOrig="225">
                <v:shape id="_x0000_i1033" type="#_x0000_t75" style="width:20.05pt;height:18.15pt" o:ole="">
                  <v:imagedata r:id="rId7" o:title=""/>
                </v:shape>
                <w:control r:id="rId12" w:name="DefaultOcxName2" w:shapeid="_x0000_i1033"/>
              </w:object>
            </w:r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Требование к отсутствию участников закупки в реестре недобросовестных поставщиков </w:t>
            </w:r>
          </w:p>
        </w:tc>
      </w:tr>
    </w:tbl>
    <w:p w:rsidR="00FE583F" w:rsidRPr="00FE583F" w:rsidRDefault="00FE583F" w:rsidP="00FE583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E583F" w:rsidRPr="00FE583F" w:rsidRDefault="00FE583F" w:rsidP="00FE583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Дополнительная информация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E583F" w:rsidRPr="00FE583F" w:rsidRDefault="00FE583F" w:rsidP="00FE583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E583F" w:rsidRPr="00FE583F" w:rsidRDefault="00FE583F" w:rsidP="00FE583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Контактное лицо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Контактное лицо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Белозерцев Олег Константинович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13" w:tooltip="Okuntsev-ES@te.ru" w:history="1">
              <w:r w:rsidRPr="00FE583F">
                <w:rPr>
                  <w:rFonts w:ascii="Arial" w:eastAsia="Times New Roman" w:hAnsi="Arial" w:cs="Arial"/>
                  <w:color w:val="0060A4"/>
                  <w:sz w:val="17"/>
                  <w:szCs w:val="17"/>
                  <w:lang w:eastAsia="ru-RU"/>
                </w:rPr>
                <w:t>Okuntsev-ES@te.ru</w:t>
              </w:r>
            </w:hyperlink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73467653260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Факс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E583F" w:rsidRPr="00FE583F" w:rsidRDefault="00FE583F" w:rsidP="00FE583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259"/>
        <w:gridCol w:w="1563"/>
      </w:tblGrid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E583F" w:rsidRPr="00FE583F" w:rsidRDefault="00FE583F" w:rsidP="00FE583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Порядок проведения процедуры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 xml:space="preserve">Подача заявок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начала срока подачи заявок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12.03.2019 </w:t>
            </w:r>
            <w:r w:rsidRPr="00FE583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и время окончания подачи заявок</w:t>
            </w:r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br/>
            </w: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(по местному времени заказчика)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02.04.2019 в 15:00 </w:t>
            </w:r>
            <w:r w:rsidRPr="00FE583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Рассмотрение первых частей заявок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Место рассмотрения первых частей заявок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Урай</w:t>
            </w:r>
            <w:proofErr w:type="spellEnd"/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рассмотрения первых частей заявок (по местному времени заказчика)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18.04.2019 </w:t>
            </w:r>
            <w:r w:rsidRPr="00FE583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рассмотрения первых частей заявок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Подведение итогов</w:t>
            </w:r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Место подведения итогов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628281, Российская Федерация, Ханты-Мансийский </w:t>
            </w:r>
            <w:bookmarkStart w:id="0" w:name="_GoBack"/>
            <w:bookmarkEnd w:id="0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автономный округ - Югра (Тюменская область), Электросети, </w:t>
            </w:r>
            <w:proofErr w:type="spellStart"/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Урай</w:t>
            </w:r>
            <w:proofErr w:type="spellEnd"/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подведения итогов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26.04.2019 </w:t>
            </w:r>
            <w:r w:rsidRPr="00FE583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подведения итогов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</w:t>
            </w:r>
          </w:p>
        </w:tc>
      </w:tr>
    </w:tbl>
    <w:p w:rsidR="00FE583F" w:rsidRPr="00FE583F" w:rsidRDefault="00FE583F" w:rsidP="00FE583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FE583F" w:rsidRPr="00FE583F" w:rsidTr="00FE583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E583F" w:rsidRPr="00FE583F" w:rsidRDefault="00FE583F" w:rsidP="00FE583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Предоставление документации 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Срок предоставления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с 12.03.2019 по </w:t>
            </w:r>
            <w:r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0</w:t>
            </w: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2.03.2019 </w:t>
            </w:r>
            <w:r w:rsidRPr="00FE583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https://msp.roseltorg.ru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Официальный сайт ЕИС, на котором размещена документация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www.zakupki.gov.ru</w:t>
            </w:r>
          </w:p>
        </w:tc>
      </w:tr>
      <w:tr w:rsidR="00FE583F" w:rsidRPr="00FE583F" w:rsidTr="00FE583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hideMark/>
          </w:tcPr>
          <w:p w:rsidR="00FE583F" w:rsidRPr="00FE583F" w:rsidRDefault="00FE583F" w:rsidP="00FE58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83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Требования не установлены</w:t>
            </w:r>
            <w:r w:rsidRPr="00FE58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C15878" w:rsidRDefault="00C15878"/>
    <w:sectPr w:rsidR="00C15878" w:rsidSect="00066072">
      <w:pgSz w:w="23814" w:h="16839" w:orient="landscape" w:code="8"/>
      <w:pgMar w:top="851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1B55"/>
    <w:multiLevelType w:val="multilevel"/>
    <w:tmpl w:val="953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2B"/>
    <w:rsid w:val="00066072"/>
    <w:rsid w:val="0029722B"/>
    <w:rsid w:val="00A953D8"/>
    <w:rsid w:val="00C15878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F8B4"/>
  <w15:chartTrackingRefBased/>
  <w15:docId w15:val="{C460F429-9BE5-453F-AB2E-94006945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6683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87183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6669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1780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2320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7528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  <w:div w:id="939534313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  <w:div w:id="33384647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Okuntsev-ES@t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223/purchase/private/purchase/notice-info/common-info.html?noticeInfoId=9329892&amp;purchaseMethodType=KESMBO" TargetMode="External"/><Relationship Id="rId11" Type="http://schemas.openxmlformats.org/officeDocument/2006/relationships/hyperlink" Target="https://zakupki.gov.ru/223/purchase/private/purchase/notice-info/common-info.html?noticeInfoId=9329892&amp;purchaseMethodType=KESMBO" TargetMode="External"/><Relationship Id="rId5" Type="http://schemas.openxmlformats.org/officeDocument/2006/relationships/hyperlink" Target="https://zakupki.gov.ru/223/purchase/private/purchase/notice-info/common-info.html?noticeInfoId=9329892&amp;purchaseMethodType=KESMB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Company>АО "Тюменьэнерго"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2019-03-22T12:12:00Z</dcterms:created>
  <dcterms:modified xsi:type="dcterms:W3CDTF">2019-03-22T12:13:00Z</dcterms:modified>
</cp:coreProperties>
</file>