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0F" w:rsidRPr="0078750F" w:rsidRDefault="0078750F" w:rsidP="0078750F">
      <w:pPr>
        <w:spacing w:before="346" w:after="96" w:line="240" w:lineRule="auto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bookmarkStart w:id="0" w:name="_GoBack"/>
      <w:bookmarkEnd w:id="0"/>
      <w:r w:rsidRPr="0078750F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Конкурс №776987. Открытый одноэтапный конкурс без предварительного отбора на право заключения Договора на выполнение работ по проведению обследования состояния ВЛ 500 кВ Тобольск-Ишим (диспетчерское наименование ВЛ 220 (500) кВ Иртыш-Витязь (Заря)) Ишимск</w:t>
      </w:r>
    </w:p>
    <w:p w:rsidR="0078750F" w:rsidRDefault="0078750F" w:rsidP="0078750F">
      <w:pPr>
        <w:spacing w:before="171" w:after="171" w:line="3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8750F">
        <w:rPr>
          <w:rFonts w:ascii="Arial" w:eastAsia="Times New Roman" w:hAnsi="Arial" w:cs="Arial"/>
          <w:b/>
          <w:bCs/>
          <w:color w:val="000000"/>
          <w:lang w:eastAsia="ru-RU"/>
        </w:rPr>
        <w:t>От кого:</w:t>
      </w:r>
      <w:r w:rsidRPr="0078750F">
        <w:rPr>
          <w:rFonts w:ascii="Arial" w:eastAsia="Times New Roman" w:hAnsi="Arial" w:cs="Arial"/>
          <w:color w:val="000000"/>
          <w:lang w:eastAsia="ru-RU"/>
        </w:rPr>
        <w:t xml:space="preserve"> B2B-Center, </w:t>
      </w:r>
      <w:hyperlink r:id="rId5" w:tooltip="Информация об организации" w:history="1">
        <w:r w:rsidRPr="008C3F2E">
          <w:rPr>
            <w:rFonts w:ascii="Times New Roman" w:eastAsia="Times New Roman" w:hAnsi="Times New Roman" w:cs="Times New Roman"/>
            <w:color w:val="2283C3"/>
            <w:lang w:eastAsia="ru-RU"/>
          </w:rPr>
          <w:t>АО "Центр развития экономики"</w:t>
        </w:r>
      </w:hyperlink>
      <w:r w:rsidRPr="0078750F">
        <w:rPr>
          <w:rFonts w:ascii="Arial" w:eastAsia="Times New Roman" w:hAnsi="Arial" w:cs="Arial"/>
          <w:color w:val="000000"/>
          <w:lang w:eastAsia="ru-RU"/>
        </w:rPr>
        <w:br/>
      </w:r>
      <w:r w:rsidRPr="007875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Отправлено:</w:t>
      </w:r>
      <w:r w:rsidRPr="007875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16.02.2017 11:14</w:t>
      </w:r>
      <w:r w:rsidRPr="007875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8750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Прочитано:</w:t>
      </w:r>
      <w:r w:rsidRPr="007875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16.02.2017 11:19</w:t>
      </w:r>
    </w:p>
    <w:p w:rsidR="00B05E16" w:rsidRPr="00B05E16" w:rsidRDefault="00B05E16" w:rsidP="00B05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B05E1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Вопрос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8750F" w:rsidRPr="008450CA" w:rsidTr="0078750F">
        <w:trPr>
          <w:tblCellSpacing w:w="0" w:type="dxa"/>
        </w:trPr>
        <w:tc>
          <w:tcPr>
            <w:tcW w:w="0" w:type="auto"/>
            <w:hideMark/>
          </w:tcPr>
          <w:p w:rsidR="0078750F" w:rsidRPr="008450CA" w:rsidRDefault="0078750F" w:rsidP="008450CA">
            <w:pPr>
              <w:spacing w:before="171" w:after="17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Извещаем Вас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том, что на конкурс №776987. О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ткрытый одноэтапный конкурс без предварительного отбора на право заключения договора на выполнение работ по проведению обследования состояния вл 500 кв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обольск-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шим (диспетчерское наименование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220 (500) к</w:t>
            </w:r>
            <w:r w:rsidR="00215CC3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ртыш-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итязь (заря))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шимского и тобольского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ТПО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филиала 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юменьэнерго» - «</w:t>
            </w:r>
            <w:r w:rsidR="00E00AF1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юменские распределительные сети». поступил вопрос:</w:t>
            </w:r>
          </w:p>
          <w:p w:rsidR="0078750F" w:rsidRPr="008450CA" w:rsidRDefault="008450CA" w:rsidP="008450CA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ТЗ п.3 Состав и объемы работ имеется требование по «Выполнению измерений геометрии расположения опор, проводов, тросов».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виде должны быть представлены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данных измерений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по требованию по п. «Неразрушающий контроль проводов и тросов с помощью дефектоскопа без опускания проводов на землю». Просим уточнить параметры дефектоскопа или достаточно ли будет оптического контроля элементов конструкций ВЛ?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«Выполнение натурно-технического обследования земельного участка под ВЛ». Что должно являться результатом этого обследования - состав почвы, гамма-фон участка или что иное?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обосновано требование ТЗ п.8.4 наличие свидетельства о регистрации электролаборатории до 750 кВ, если ВЛ 220 кв (до 500)?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</w:t>
            </w:r>
            <w:r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8750F" w:rsidRPr="008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в том же п.8.4 требуется свидетельство об аттестации лаборатории разрушающего контроля если согласно того же ТЗ п.3.1 разрушать ничего не нужно?</w:t>
            </w:r>
          </w:p>
        </w:tc>
      </w:tr>
    </w:tbl>
    <w:p w:rsidR="00C07E50" w:rsidRDefault="00C07E50"/>
    <w:p w:rsidR="00C07E50" w:rsidRPr="008450CA" w:rsidRDefault="00C07E50" w:rsidP="008450C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E1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Ответы:</w:t>
      </w:r>
    </w:p>
    <w:p w:rsidR="008450CA" w:rsidRPr="008450CA" w:rsidRDefault="008450CA" w:rsidP="008450CA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Результаты измерений геометрии опор должны быть отображены в отчете графически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50CA">
        <w:rPr>
          <w:rFonts w:ascii="Times New Roman" w:hAnsi="Times New Roman" w:cs="Times New Roman"/>
          <w:sz w:val="24"/>
          <w:szCs w:val="24"/>
        </w:rPr>
        <w:t xml:space="preserve"> с указанием отклонения от вертикального состояния опоры относительно земли.</w:t>
      </w:r>
    </w:p>
    <w:p w:rsidR="008450CA" w:rsidRPr="008450CA" w:rsidRDefault="008450CA" w:rsidP="008450C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50CA" w:rsidRPr="008450CA" w:rsidRDefault="008450CA" w:rsidP="008450CA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 xml:space="preserve">Параметры дефектоскопа выбрать следующие: </w:t>
      </w:r>
    </w:p>
    <w:p w:rsidR="008450CA" w:rsidRPr="008450CA" w:rsidRDefault="008450CA" w:rsidP="008450C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- погрешность измерений потери сечения провода/троса не более 1%;</w:t>
      </w:r>
    </w:p>
    <w:p w:rsidR="008450CA" w:rsidRPr="008450CA" w:rsidRDefault="008450CA" w:rsidP="008450C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 xml:space="preserve">- возможность измерения провода марки до АС-500/336 и троса сечением до ТК-100. </w:t>
      </w:r>
    </w:p>
    <w:p w:rsidR="008450CA" w:rsidRPr="008450CA" w:rsidRDefault="008450CA" w:rsidP="008450C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Отчет должен содержать информацию о потере сечения и о локализованных дефектах (обрывах) проволок проводов и тросов с указанием координат повреждения. Оптического контроля элементов конструкций ВЛ будет недостаточно.</w:t>
      </w:r>
    </w:p>
    <w:p w:rsidR="008450CA" w:rsidRPr="008450CA" w:rsidRDefault="008450CA" w:rsidP="008450C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50CA" w:rsidRPr="008450CA" w:rsidRDefault="008450CA" w:rsidP="008450CA">
      <w:pPr>
        <w:pStyle w:val="a7"/>
        <w:numPr>
          <w:ilvl w:val="0"/>
          <w:numId w:val="1"/>
        </w:numPr>
        <w:tabs>
          <w:tab w:val="left" w:pos="567"/>
        </w:tabs>
        <w:spacing w:before="900" w:after="0" w:line="240" w:lineRule="auto"/>
        <w:ind w:left="0" w:right="30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 xml:space="preserve">Результатом должен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8450CA">
        <w:rPr>
          <w:rFonts w:ascii="Times New Roman" w:hAnsi="Times New Roman" w:cs="Times New Roman"/>
          <w:sz w:val="24"/>
          <w:szCs w:val="24"/>
        </w:rPr>
        <w:t xml:space="preserve"> акт натурного технического обследования участка лесного фонда.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При натурном техническом обследовании участка лесного фонда проводится: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- отграничение участка лесного фонда путем прорубки граничных визиров и установки столбов на углах поворота границ;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- инструментальная геодезическая съемка границ участка лесного фонда с определением румбов и длины граничных линий, а также привязка участка лесного фонда к твердым ориентирам на местности (межевым знакам);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lastRenderedPageBreak/>
        <w:t>- определение площади участка по данным геодезической съемки границ;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- составление таксационного описания участка лесного фонда, уточняющего материалы лесоустройства;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- составление характеристики участка лесного фонда по местоположению, группам лесов, категориям защитности лесов первой группы и другим показателям, которые могут повлиять на режим пользования и необходимы для определения размера потерь лесного хозяйства;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450CA">
        <w:rPr>
          <w:rFonts w:ascii="Times New Roman" w:hAnsi="Times New Roman" w:cs="Times New Roman"/>
          <w:sz w:val="24"/>
          <w:szCs w:val="24"/>
        </w:rPr>
        <w:t>- составление чертежа (плана) участка лесного фонда в масштабе лесоустроительного планшета или плана лесонасаждений с нанесением границ лесничеств, кварталов, выделов, групп лесов и категорий защитности лесов первой группы, дорог и населенных пунктов, номеров кварталов, границ участка лесного фонда с номерами поворотных точек, с указанием румбов и длины граничных линий, номеров выделов и площади.</w:t>
      </w:r>
    </w:p>
    <w:p w:rsidR="008450CA" w:rsidRPr="008450CA" w:rsidRDefault="008450CA" w:rsidP="008450CA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830027" w:rsidRDefault="00830027" w:rsidP="00A2614A">
      <w:pPr>
        <w:pStyle w:val="a7"/>
        <w:numPr>
          <w:ilvl w:val="0"/>
          <w:numId w:val="1"/>
        </w:numPr>
        <w:tabs>
          <w:tab w:val="left" w:pos="567"/>
        </w:tabs>
        <w:spacing w:before="900" w:after="0" w:line="240" w:lineRule="auto"/>
        <w:ind w:left="0" w:right="30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Конкурсной документацией предусмотрено </w:t>
      </w:r>
      <w:r w:rsidR="00A2614A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A2614A" w:rsidRPr="00A2614A">
        <w:rPr>
          <w:rFonts w:ascii="Times New Roman" w:hAnsi="Times New Roman" w:cs="Times New Roman"/>
          <w:sz w:val="24"/>
          <w:szCs w:val="24"/>
        </w:rPr>
        <w:t>Участник</w:t>
      </w:r>
      <w:r w:rsidR="00A2614A">
        <w:rPr>
          <w:rFonts w:ascii="Times New Roman" w:hAnsi="Times New Roman" w:cs="Times New Roman"/>
          <w:sz w:val="24"/>
          <w:szCs w:val="24"/>
        </w:rPr>
        <w:t>а</w:t>
      </w:r>
      <w:r w:rsidR="00A2614A" w:rsidRPr="00A2614A">
        <w:rPr>
          <w:rFonts w:ascii="Times New Roman" w:hAnsi="Times New Roman" w:cs="Times New Roman"/>
          <w:sz w:val="24"/>
          <w:szCs w:val="24"/>
        </w:rPr>
        <w:t>/ член</w:t>
      </w:r>
      <w:r w:rsidR="00A2614A">
        <w:rPr>
          <w:rFonts w:ascii="Times New Roman" w:hAnsi="Times New Roman" w:cs="Times New Roman"/>
          <w:sz w:val="24"/>
          <w:szCs w:val="24"/>
        </w:rPr>
        <w:t>а</w:t>
      </w:r>
      <w:r w:rsidR="00A2614A" w:rsidRPr="00A2614A">
        <w:rPr>
          <w:rFonts w:ascii="Times New Roman" w:hAnsi="Times New Roman" w:cs="Times New Roman"/>
          <w:sz w:val="24"/>
          <w:szCs w:val="24"/>
        </w:rPr>
        <w:t xml:space="preserve"> коллективного Участника, субподрядчик</w:t>
      </w:r>
      <w:r w:rsidR="00A2614A">
        <w:rPr>
          <w:rFonts w:ascii="Times New Roman" w:hAnsi="Times New Roman" w:cs="Times New Roman"/>
          <w:sz w:val="24"/>
          <w:szCs w:val="24"/>
        </w:rPr>
        <w:t>а</w:t>
      </w:r>
      <w:r w:rsidR="00A2614A" w:rsidRPr="00A2614A">
        <w:rPr>
          <w:rFonts w:ascii="Times New Roman" w:hAnsi="Times New Roman" w:cs="Times New Roman"/>
          <w:sz w:val="24"/>
          <w:szCs w:val="24"/>
        </w:rPr>
        <w:t xml:space="preserve"> (соисполнител</w:t>
      </w:r>
      <w:r w:rsidR="00A2614A">
        <w:rPr>
          <w:rFonts w:ascii="Times New Roman" w:hAnsi="Times New Roman" w:cs="Times New Roman"/>
          <w:sz w:val="24"/>
          <w:szCs w:val="24"/>
        </w:rPr>
        <w:t>я</w:t>
      </w:r>
      <w:r w:rsidR="00A2614A" w:rsidRPr="00A2614A">
        <w:rPr>
          <w:rFonts w:ascii="Times New Roman" w:hAnsi="Times New Roman" w:cs="Times New Roman"/>
          <w:sz w:val="24"/>
          <w:szCs w:val="24"/>
        </w:rPr>
        <w:t>/субпоставщик</w:t>
      </w:r>
      <w:r w:rsidR="00A2614A">
        <w:rPr>
          <w:rFonts w:ascii="Times New Roman" w:hAnsi="Times New Roman" w:cs="Times New Roman"/>
          <w:sz w:val="24"/>
          <w:szCs w:val="24"/>
        </w:rPr>
        <w:t>а</w:t>
      </w:r>
      <w:r w:rsidR="00A2614A" w:rsidRPr="00A2614A">
        <w:rPr>
          <w:rFonts w:ascii="Times New Roman" w:hAnsi="Times New Roman" w:cs="Times New Roman"/>
          <w:sz w:val="24"/>
          <w:szCs w:val="24"/>
        </w:rPr>
        <w:t>)</w:t>
      </w:r>
      <w:r w:rsidR="001B6346">
        <w:rPr>
          <w:rFonts w:ascii="Times New Roman" w:hAnsi="Times New Roman" w:cs="Times New Roman"/>
          <w:sz w:val="24"/>
          <w:szCs w:val="24"/>
        </w:rPr>
        <w:t xml:space="preserve"> в числе основных МТР</w:t>
      </w:r>
      <w:r w:rsidR="00A2614A" w:rsidRPr="00A2614A">
        <w:t xml:space="preserve"> </w:t>
      </w:r>
      <w:r w:rsidR="001B6346" w:rsidRPr="001B6346">
        <w:rPr>
          <w:rFonts w:ascii="Times New Roman" w:hAnsi="Times New Roman" w:cs="Times New Roman"/>
          <w:sz w:val="24"/>
          <w:szCs w:val="24"/>
        </w:rPr>
        <w:t>э</w:t>
      </w:r>
      <w:r w:rsidR="00A2614A" w:rsidRPr="00A2614A">
        <w:rPr>
          <w:rFonts w:ascii="Times New Roman" w:hAnsi="Times New Roman" w:cs="Times New Roman"/>
          <w:sz w:val="24"/>
          <w:szCs w:val="24"/>
        </w:rPr>
        <w:t>лектролаборатори</w:t>
      </w:r>
      <w:r w:rsidR="00A2614A">
        <w:rPr>
          <w:rFonts w:ascii="Times New Roman" w:hAnsi="Times New Roman" w:cs="Times New Roman"/>
          <w:sz w:val="24"/>
          <w:szCs w:val="24"/>
        </w:rPr>
        <w:t>и</w:t>
      </w:r>
      <w:r w:rsidR="00A2614A" w:rsidRPr="00A2614A">
        <w:rPr>
          <w:rFonts w:ascii="Times New Roman" w:hAnsi="Times New Roman" w:cs="Times New Roman"/>
          <w:sz w:val="24"/>
          <w:szCs w:val="24"/>
        </w:rPr>
        <w:t xml:space="preserve"> до 750 кВ.</w:t>
      </w:r>
      <w:r w:rsidR="001B6346">
        <w:rPr>
          <w:rFonts w:ascii="Times New Roman" w:hAnsi="Times New Roman" w:cs="Times New Roman"/>
          <w:sz w:val="24"/>
          <w:szCs w:val="24"/>
        </w:rPr>
        <w:t xml:space="preserve">  Данное требование установлено с целью определения отступления от ПУЭ-7 действующей ВЛ 500кВ</w:t>
      </w:r>
      <w:r w:rsidR="002E6661">
        <w:rPr>
          <w:rFonts w:ascii="Times New Roman" w:hAnsi="Times New Roman" w:cs="Times New Roman"/>
          <w:sz w:val="24"/>
          <w:szCs w:val="24"/>
        </w:rPr>
        <w:t xml:space="preserve"> (см.п.3 Технического задания).</w:t>
      </w:r>
    </w:p>
    <w:p w:rsidR="00830027" w:rsidRDefault="00830027" w:rsidP="00830027">
      <w:pPr>
        <w:pStyle w:val="a7"/>
        <w:tabs>
          <w:tab w:val="left" w:pos="567"/>
        </w:tabs>
        <w:spacing w:before="900" w:after="0" w:line="240" w:lineRule="auto"/>
        <w:ind w:left="0" w:right="3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845A6" w:rsidRPr="00F845A6" w:rsidRDefault="00F845A6" w:rsidP="00DD1203">
      <w:pPr>
        <w:pStyle w:val="a7"/>
        <w:numPr>
          <w:ilvl w:val="0"/>
          <w:numId w:val="1"/>
        </w:numPr>
        <w:tabs>
          <w:tab w:val="left" w:pos="567"/>
        </w:tabs>
        <w:spacing w:before="900" w:after="0" w:line="240" w:lineRule="auto"/>
        <w:ind w:left="0" w:right="30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845A6">
        <w:rPr>
          <w:rFonts w:ascii="Times New Roman" w:hAnsi="Times New Roman" w:cs="Times New Roman"/>
          <w:sz w:val="24"/>
          <w:szCs w:val="24"/>
        </w:rPr>
        <w:t xml:space="preserve">Наличие лаборатории разрушающего контроля предусмотрено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BA0527">
        <w:rPr>
          <w:rFonts w:ascii="Times New Roman" w:hAnsi="Times New Roman" w:cs="Times New Roman"/>
          <w:sz w:val="24"/>
          <w:szCs w:val="24"/>
        </w:rPr>
        <w:t xml:space="preserve">тех </w:t>
      </w:r>
      <w:r>
        <w:rPr>
          <w:rFonts w:ascii="Times New Roman" w:hAnsi="Times New Roman" w:cs="Times New Roman"/>
          <w:sz w:val="24"/>
          <w:szCs w:val="24"/>
        </w:rPr>
        <w:t>случаев, когда</w:t>
      </w:r>
      <w:r w:rsidRPr="00F8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ходе обследования </w:t>
      </w:r>
      <w:r w:rsidRPr="00F845A6">
        <w:rPr>
          <w:rFonts w:ascii="Times New Roman" w:hAnsi="Times New Roman" w:cs="Times New Roman"/>
          <w:sz w:val="24"/>
          <w:szCs w:val="24"/>
        </w:rPr>
        <w:t>проводов и тросов</w:t>
      </w:r>
      <w:r w:rsidR="00BA0527" w:rsidRPr="00BA0527">
        <w:rPr>
          <w:rFonts w:ascii="Times New Roman" w:hAnsi="Times New Roman" w:cs="Times New Roman"/>
          <w:sz w:val="24"/>
          <w:szCs w:val="24"/>
        </w:rPr>
        <w:t xml:space="preserve"> </w:t>
      </w:r>
      <w:r w:rsidR="00BA0527" w:rsidRPr="00F845A6">
        <w:rPr>
          <w:rFonts w:ascii="Times New Roman" w:hAnsi="Times New Roman" w:cs="Times New Roman"/>
          <w:sz w:val="24"/>
          <w:szCs w:val="24"/>
        </w:rPr>
        <w:t>методом неразрушающего контроля</w:t>
      </w:r>
      <w:r w:rsidRPr="00F845A6">
        <w:rPr>
          <w:rFonts w:ascii="Times New Roman" w:hAnsi="Times New Roman" w:cs="Times New Roman"/>
          <w:sz w:val="24"/>
          <w:szCs w:val="24"/>
        </w:rPr>
        <w:t xml:space="preserve">, </w:t>
      </w:r>
      <w:r w:rsidR="00BA0527">
        <w:rPr>
          <w:rFonts w:ascii="Times New Roman" w:hAnsi="Times New Roman" w:cs="Times New Roman"/>
          <w:sz w:val="24"/>
          <w:szCs w:val="24"/>
        </w:rPr>
        <w:t>будут выявлены</w:t>
      </w:r>
      <w:r w:rsidR="00BA0527" w:rsidRPr="00F845A6">
        <w:rPr>
          <w:rFonts w:ascii="Times New Roman" w:hAnsi="Times New Roman" w:cs="Times New Roman"/>
          <w:sz w:val="24"/>
          <w:szCs w:val="24"/>
        </w:rPr>
        <w:t xml:space="preserve"> дефект</w:t>
      </w:r>
      <w:r w:rsidR="00BA0527">
        <w:rPr>
          <w:rFonts w:ascii="Times New Roman" w:hAnsi="Times New Roman" w:cs="Times New Roman"/>
          <w:sz w:val="24"/>
          <w:szCs w:val="24"/>
        </w:rPr>
        <w:t>ы,</w:t>
      </w:r>
      <w:r w:rsidR="00BA0527" w:rsidRPr="00F845A6">
        <w:rPr>
          <w:rFonts w:ascii="Times New Roman" w:hAnsi="Times New Roman" w:cs="Times New Roman"/>
          <w:sz w:val="24"/>
          <w:szCs w:val="24"/>
        </w:rPr>
        <w:t xml:space="preserve"> </w:t>
      </w:r>
      <w:r w:rsidR="00BA0527">
        <w:rPr>
          <w:rFonts w:ascii="Times New Roman" w:hAnsi="Times New Roman" w:cs="Times New Roman"/>
          <w:sz w:val="24"/>
          <w:szCs w:val="24"/>
        </w:rPr>
        <w:t xml:space="preserve">требующие более </w:t>
      </w:r>
      <w:r w:rsidRPr="00F845A6">
        <w:rPr>
          <w:rFonts w:ascii="Times New Roman" w:hAnsi="Times New Roman" w:cs="Times New Roman"/>
          <w:sz w:val="24"/>
          <w:szCs w:val="24"/>
        </w:rPr>
        <w:t>детально</w:t>
      </w:r>
      <w:r w:rsidR="00BA0527">
        <w:rPr>
          <w:rFonts w:ascii="Times New Roman" w:hAnsi="Times New Roman" w:cs="Times New Roman"/>
          <w:sz w:val="24"/>
          <w:szCs w:val="24"/>
        </w:rPr>
        <w:t>го</w:t>
      </w:r>
      <w:r w:rsidRPr="00F845A6">
        <w:rPr>
          <w:rFonts w:ascii="Times New Roman" w:hAnsi="Times New Roman" w:cs="Times New Roman"/>
          <w:sz w:val="24"/>
          <w:szCs w:val="24"/>
        </w:rPr>
        <w:t xml:space="preserve"> </w:t>
      </w:r>
      <w:r w:rsidR="00BA0527">
        <w:rPr>
          <w:rFonts w:ascii="Times New Roman" w:hAnsi="Times New Roman" w:cs="Times New Roman"/>
          <w:sz w:val="24"/>
          <w:szCs w:val="24"/>
        </w:rPr>
        <w:t xml:space="preserve">исследования с применением </w:t>
      </w:r>
      <w:r w:rsidRPr="00F845A6">
        <w:rPr>
          <w:rFonts w:ascii="Times New Roman" w:hAnsi="Times New Roman" w:cs="Times New Roman"/>
          <w:sz w:val="24"/>
          <w:szCs w:val="24"/>
        </w:rPr>
        <w:t>метод</w:t>
      </w:r>
      <w:r w:rsidR="00BA0527">
        <w:rPr>
          <w:rFonts w:ascii="Times New Roman" w:hAnsi="Times New Roman" w:cs="Times New Roman"/>
          <w:sz w:val="24"/>
          <w:szCs w:val="24"/>
        </w:rPr>
        <w:t>а</w:t>
      </w:r>
      <w:r w:rsidRPr="00F845A6">
        <w:rPr>
          <w:rFonts w:ascii="Times New Roman" w:hAnsi="Times New Roman" w:cs="Times New Roman"/>
          <w:sz w:val="24"/>
          <w:szCs w:val="24"/>
        </w:rPr>
        <w:t xml:space="preserve"> разрушающего контроля.</w:t>
      </w:r>
    </w:p>
    <w:sectPr w:rsidR="00F845A6" w:rsidRPr="00F845A6" w:rsidSect="0078750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0377"/>
    <w:multiLevelType w:val="hybridMultilevel"/>
    <w:tmpl w:val="8EBA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0D0A"/>
    <w:multiLevelType w:val="hybridMultilevel"/>
    <w:tmpl w:val="5410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F0"/>
    <w:rsid w:val="001B6346"/>
    <w:rsid w:val="00215CC3"/>
    <w:rsid w:val="002A4F90"/>
    <w:rsid w:val="002E6661"/>
    <w:rsid w:val="0049398E"/>
    <w:rsid w:val="004B0D73"/>
    <w:rsid w:val="004D2786"/>
    <w:rsid w:val="005904CC"/>
    <w:rsid w:val="00595212"/>
    <w:rsid w:val="006004B7"/>
    <w:rsid w:val="00726FC6"/>
    <w:rsid w:val="0078750F"/>
    <w:rsid w:val="00830027"/>
    <w:rsid w:val="008432F0"/>
    <w:rsid w:val="008450CA"/>
    <w:rsid w:val="008C3F2E"/>
    <w:rsid w:val="00901CF7"/>
    <w:rsid w:val="009E5F50"/>
    <w:rsid w:val="00A2528E"/>
    <w:rsid w:val="00A2614A"/>
    <w:rsid w:val="00AE7641"/>
    <w:rsid w:val="00B05E16"/>
    <w:rsid w:val="00BA0527"/>
    <w:rsid w:val="00C07E50"/>
    <w:rsid w:val="00C559D6"/>
    <w:rsid w:val="00D26122"/>
    <w:rsid w:val="00E00AF1"/>
    <w:rsid w:val="00F106BA"/>
    <w:rsid w:val="00F845A6"/>
    <w:rsid w:val="00F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7DED7-2A91-49DC-990F-A970B6B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750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78750F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50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750F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78750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750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78750F"/>
    <w:pPr>
      <w:spacing w:before="171" w:after="171" w:line="343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E5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01CF7"/>
    <w:pPr>
      <w:ind w:left="720"/>
      <w:contextualSpacing/>
    </w:pPr>
  </w:style>
  <w:style w:type="character" w:styleId="a8">
    <w:name w:val="Strong"/>
    <w:basedOn w:val="a0"/>
    <w:uiPriority w:val="22"/>
    <w:qFormat/>
    <w:rsid w:val="009E5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2915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89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373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firms/ao-tsentr-razvitiia-ekonomiki/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cp:lastPrinted>2017-02-20T03:45:00Z</cp:lastPrinted>
  <dcterms:created xsi:type="dcterms:W3CDTF">2017-02-22T10:40:00Z</dcterms:created>
  <dcterms:modified xsi:type="dcterms:W3CDTF">2017-02-22T10:40:00Z</dcterms:modified>
</cp:coreProperties>
</file>