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A53" w:rsidRPr="00A56A53" w:rsidRDefault="00A56A53" w:rsidP="00A56A53">
      <w:pPr>
        <w:spacing w:after="144" w:line="240" w:lineRule="auto"/>
        <w:outlineLvl w:val="0"/>
        <w:rPr>
          <w:rFonts w:ascii="Times New Roman" w:eastAsia="Times New Roman" w:hAnsi="Times New Roman" w:cs="Times New Roman"/>
          <w:b/>
          <w:bCs/>
          <w:color w:val="000000"/>
          <w:kern w:val="36"/>
          <w:sz w:val="24"/>
          <w:szCs w:val="24"/>
          <w:lang w:eastAsia="ru-RU"/>
        </w:rPr>
      </w:pPr>
      <w:r w:rsidRPr="00A56A53">
        <w:rPr>
          <w:rFonts w:ascii="Times New Roman" w:eastAsia="Times New Roman" w:hAnsi="Times New Roman" w:cs="Times New Roman"/>
          <w:b/>
          <w:bCs/>
          <w:color w:val="000000"/>
          <w:kern w:val="36"/>
          <w:sz w:val="24"/>
          <w:szCs w:val="24"/>
          <w:lang w:eastAsia="ru-RU"/>
        </w:rPr>
        <w:t>Запрос предложений № 889301</w:t>
      </w:r>
      <w:r w:rsidRPr="00A56A53">
        <w:rPr>
          <w:rFonts w:ascii="Times New Roman" w:eastAsia="Times New Roman" w:hAnsi="Times New Roman" w:cs="Times New Roman"/>
          <w:b/>
          <w:bCs/>
          <w:color w:val="000000"/>
          <w:kern w:val="36"/>
          <w:sz w:val="24"/>
          <w:szCs w:val="24"/>
          <w:lang w:eastAsia="ru-RU"/>
        </w:rPr>
        <w:br/>
        <w:t>Открытый запрос предложений на право заключения договора на выполнение работ по капитальному ремонту антенных опор на объектах филиала АО «</w:t>
      </w:r>
      <w:proofErr w:type="spellStart"/>
      <w:r w:rsidRPr="00A56A53">
        <w:rPr>
          <w:rFonts w:ascii="Times New Roman" w:eastAsia="Times New Roman" w:hAnsi="Times New Roman" w:cs="Times New Roman"/>
          <w:b/>
          <w:bCs/>
          <w:color w:val="000000"/>
          <w:kern w:val="36"/>
          <w:sz w:val="24"/>
          <w:szCs w:val="24"/>
          <w:lang w:eastAsia="ru-RU"/>
        </w:rPr>
        <w:t>Тюменьэнерго</w:t>
      </w:r>
      <w:proofErr w:type="spellEnd"/>
      <w:r w:rsidRPr="00A56A53">
        <w:rPr>
          <w:rFonts w:ascii="Times New Roman" w:eastAsia="Times New Roman" w:hAnsi="Times New Roman" w:cs="Times New Roman"/>
          <w:b/>
          <w:bCs/>
          <w:color w:val="000000"/>
          <w:kern w:val="36"/>
          <w:sz w:val="24"/>
          <w:szCs w:val="24"/>
          <w:lang w:eastAsia="ru-RU"/>
        </w:rPr>
        <w:t xml:space="preserve">» </w:t>
      </w:r>
      <w:proofErr w:type="spellStart"/>
      <w:r w:rsidRPr="00A56A53">
        <w:rPr>
          <w:rFonts w:ascii="Times New Roman" w:eastAsia="Times New Roman" w:hAnsi="Times New Roman" w:cs="Times New Roman"/>
          <w:b/>
          <w:bCs/>
          <w:color w:val="000000"/>
          <w:kern w:val="36"/>
          <w:sz w:val="24"/>
          <w:szCs w:val="24"/>
          <w:lang w:eastAsia="ru-RU"/>
        </w:rPr>
        <w:t>Нижневартовские</w:t>
      </w:r>
      <w:proofErr w:type="spellEnd"/>
      <w:r w:rsidRPr="00A56A53">
        <w:rPr>
          <w:rFonts w:ascii="Times New Roman" w:eastAsia="Times New Roman" w:hAnsi="Times New Roman" w:cs="Times New Roman"/>
          <w:b/>
          <w:bCs/>
          <w:color w:val="000000"/>
          <w:kern w:val="36"/>
          <w:sz w:val="24"/>
          <w:szCs w:val="24"/>
          <w:lang w:eastAsia="ru-RU"/>
        </w:rPr>
        <w:t xml:space="preserve"> электрические сети</w:t>
      </w:r>
    </w:p>
    <w:p w:rsidR="00A56A53" w:rsidRPr="00A56A53" w:rsidRDefault="00A56A53" w:rsidP="00A56A53">
      <w:pPr>
        <w:spacing w:before="171" w:after="171"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Приём заявок завершается 03.10.2017 в 09:00 по московскому времени</w:t>
      </w:r>
      <w:r w:rsidRPr="00A56A53">
        <w:rPr>
          <w:rFonts w:ascii="Times New Roman" w:eastAsia="Times New Roman" w:hAnsi="Times New Roman" w:cs="Times New Roman"/>
          <w:color w:val="E4002B"/>
          <w:sz w:val="24"/>
          <w:szCs w:val="24"/>
          <w:lang w:eastAsia="ru-RU"/>
        </w:rPr>
        <w:t xml:space="preserve">  (через 15 суток, 2 часа, 2 минуты и 19 секунд) </w:t>
      </w:r>
      <w:r w:rsidRPr="00A56A53">
        <w:rPr>
          <w:rFonts w:ascii="Times New Roman" w:eastAsia="Times New Roman" w:hAnsi="Times New Roman" w:cs="Times New Roman"/>
          <w:vanish/>
          <w:color w:val="E4002B"/>
          <w:sz w:val="24"/>
          <w:szCs w:val="24"/>
          <w:lang w:eastAsia="ru-RU"/>
        </w:rPr>
        <w:t xml:space="preserve">(завершён) </w:t>
      </w:r>
      <w:r w:rsidRPr="00A56A53">
        <w:rPr>
          <w:rFonts w:ascii="Times New Roman" w:eastAsia="Times New Roman" w:hAnsi="Times New Roman" w:cs="Times New Roman"/>
          <w:vanish/>
          <w:color w:val="E4002B"/>
          <w:sz w:val="24"/>
          <w:szCs w:val="24"/>
          <w:lang w:eastAsia="ru-RU"/>
        </w:rPr>
        <w:br/>
      </w:r>
      <w:r w:rsidRPr="00A56A53">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A56A53">
        <w:rPr>
          <w:rFonts w:ascii="Times New Roman" w:eastAsia="Times New Roman" w:hAnsi="Times New Roman" w:cs="Times New Roman"/>
          <w:vanish/>
          <w:color w:val="E4002B"/>
          <w:sz w:val="24"/>
          <w:szCs w:val="24"/>
          <w:lang w:eastAsia="ru-RU"/>
        </w:rPr>
        <w:t xml:space="preserve"> </w:t>
      </w:r>
      <w:r w:rsidRPr="00A56A53">
        <w:rPr>
          <w:rFonts w:ascii="Times New Roman" w:eastAsia="Times New Roman" w:hAnsi="Times New Roman" w:cs="Times New Roman"/>
          <w:color w:val="000000"/>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56A53" w:rsidRPr="00A56A53" w:rsidTr="00A56A53">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56A53" w:rsidRPr="00A56A53">
              <w:trPr>
                <w:tblCellSpacing w:w="7" w:type="dxa"/>
              </w:trPr>
              <w:tc>
                <w:tcPr>
                  <w:tcW w:w="0" w:type="auto"/>
                  <w:shd w:val="clear" w:color="auto" w:fill="C7CCD3"/>
                  <w:tcMar>
                    <w:top w:w="75" w:type="dxa"/>
                    <w:left w:w="75" w:type="dxa"/>
                    <w:bottom w:w="75" w:type="dxa"/>
                    <w:right w:w="75" w:type="dxa"/>
                  </w:tcMar>
                  <w:hideMark/>
                </w:tcPr>
                <w:p w:rsidR="00A56A53" w:rsidRPr="00A56A53" w:rsidRDefault="00A56A53" w:rsidP="00A56A53">
                  <w:pPr>
                    <w:shd w:val="clear" w:color="auto" w:fill="C7CCD3"/>
                    <w:spacing w:after="0" w:line="240" w:lineRule="auto"/>
                    <w:outlineLvl w:val="2"/>
                    <w:rPr>
                      <w:rFonts w:ascii="Times New Roman" w:eastAsia="Times New Roman" w:hAnsi="Times New Roman" w:cs="Times New Roman"/>
                      <w:vanish/>
                      <w:color w:val="333333"/>
                      <w:sz w:val="24"/>
                      <w:szCs w:val="24"/>
                      <w:lang w:eastAsia="ru-RU"/>
                    </w:rPr>
                  </w:pPr>
                  <w:bookmarkStart w:id="0" w:name="_GoBack"/>
                  <w:bookmarkEnd w:id="0"/>
                  <w:r w:rsidRPr="00A56A53">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выполнение работ по капитальному ремонту антенных опор на объектах филиала АО «</w:t>
                  </w:r>
                  <w:proofErr w:type="spellStart"/>
                  <w:r w:rsidRPr="00A56A53">
                    <w:rPr>
                      <w:rFonts w:ascii="Times New Roman" w:eastAsia="Times New Roman" w:hAnsi="Times New Roman" w:cs="Times New Roman"/>
                      <w:color w:val="333333"/>
                      <w:sz w:val="24"/>
                      <w:szCs w:val="24"/>
                      <w:lang w:eastAsia="ru-RU"/>
                    </w:rPr>
                    <w:t>Тюменьэнерго</w:t>
                  </w:r>
                  <w:proofErr w:type="spellEnd"/>
                  <w:r w:rsidRPr="00A56A53">
                    <w:rPr>
                      <w:rFonts w:ascii="Times New Roman" w:eastAsia="Times New Roman" w:hAnsi="Times New Roman" w:cs="Times New Roman"/>
                      <w:color w:val="333333"/>
                      <w:sz w:val="24"/>
                      <w:szCs w:val="24"/>
                      <w:lang w:eastAsia="ru-RU"/>
                    </w:rPr>
                    <w:t xml:space="preserve">» </w:t>
                  </w:r>
                  <w:proofErr w:type="spellStart"/>
                  <w:r w:rsidRPr="00A56A53">
                    <w:rPr>
                      <w:rFonts w:ascii="Times New Roman" w:eastAsia="Times New Roman" w:hAnsi="Times New Roman" w:cs="Times New Roman"/>
                      <w:color w:val="333333"/>
                      <w:sz w:val="24"/>
                      <w:szCs w:val="24"/>
                      <w:lang w:eastAsia="ru-RU"/>
                    </w:rPr>
                    <w:t>Нижневартовские</w:t>
                  </w:r>
                  <w:proofErr w:type="spellEnd"/>
                  <w:r w:rsidRPr="00A56A53">
                    <w:rPr>
                      <w:rFonts w:ascii="Times New Roman" w:eastAsia="Times New Roman" w:hAnsi="Times New Roman" w:cs="Times New Roman"/>
                      <w:color w:val="333333"/>
                      <w:sz w:val="24"/>
                      <w:szCs w:val="24"/>
                      <w:lang w:eastAsia="ru-RU"/>
                    </w:rPr>
                    <w:t xml:space="preserve"> электрические сети</w:t>
                  </w:r>
                  <w:r w:rsidRPr="00A56A53">
                    <w:rPr>
                      <w:rFonts w:ascii="Times New Roman" w:eastAsia="Times New Roman" w:hAnsi="Times New Roman" w:cs="Times New Roman"/>
                      <w:color w:val="333333"/>
                      <w:sz w:val="24"/>
                      <w:szCs w:val="24"/>
                      <w:lang w:eastAsia="ru-RU"/>
                    </w:rPr>
                    <w:br/>
                    <w:t>Выполнение работ по капитальному ремонту антенных опор на объектах филиала АО «</w:t>
                  </w:r>
                  <w:proofErr w:type="spellStart"/>
                  <w:r w:rsidRPr="00A56A53">
                    <w:rPr>
                      <w:rFonts w:ascii="Times New Roman" w:eastAsia="Times New Roman" w:hAnsi="Times New Roman" w:cs="Times New Roman"/>
                      <w:color w:val="333333"/>
                      <w:sz w:val="24"/>
                      <w:szCs w:val="24"/>
                      <w:lang w:eastAsia="ru-RU"/>
                    </w:rPr>
                    <w:t>Тюменьэнерго</w:t>
                  </w:r>
                  <w:proofErr w:type="spellEnd"/>
                  <w:r w:rsidRPr="00A56A53">
                    <w:rPr>
                      <w:rFonts w:ascii="Times New Roman" w:eastAsia="Times New Roman" w:hAnsi="Times New Roman" w:cs="Times New Roman"/>
                      <w:color w:val="333333"/>
                      <w:sz w:val="24"/>
                      <w:szCs w:val="24"/>
                      <w:lang w:eastAsia="ru-RU"/>
                    </w:rPr>
                    <w:t xml:space="preserve">» </w:t>
                  </w:r>
                  <w:proofErr w:type="spellStart"/>
                  <w:r w:rsidRPr="00A56A53">
                    <w:rPr>
                      <w:rFonts w:ascii="Times New Roman" w:eastAsia="Times New Roman" w:hAnsi="Times New Roman" w:cs="Times New Roman"/>
                      <w:color w:val="333333"/>
                      <w:sz w:val="24"/>
                      <w:szCs w:val="24"/>
                      <w:lang w:eastAsia="ru-RU"/>
                    </w:rPr>
                    <w:t>Нижневартовские</w:t>
                  </w:r>
                  <w:proofErr w:type="spellEnd"/>
                  <w:r w:rsidRPr="00A56A53">
                    <w:rPr>
                      <w:rFonts w:ascii="Times New Roman" w:eastAsia="Times New Roman" w:hAnsi="Times New Roman" w:cs="Times New Roman"/>
                      <w:color w:val="333333"/>
                      <w:sz w:val="24"/>
                      <w:szCs w:val="24"/>
                      <w:lang w:eastAsia="ru-RU"/>
                    </w:rPr>
                    <w:t xml:space="preserve"> электрические сети</w:t>
                  </w:r>
                  <w:r w:rsidRPr="00A56A53">
                    <w:rPr>
                      <w:rFonts w:ascii="Times New Roman" w:eastAsia="Times New Roman" w:hAnsi="Times New Roman" w:cs="Times New Roman"/>
                      <w:vanish/>
                      <w:color w:val="333333"/>
                      <w:sz w:val="24"/>
                      <w:szCs w:val="24"/>
                      <w:lang w:eastAsia="ru-RU"/>
                    </w:rPr>
                    <w:t xml:space="preserve"> Свернуть </w:t>
                  </w:r>
                </w:p>
              </w:tc>
            </w:tr>
            <w:tr w:rsidR="00A56A53" w:rsidRPr="00A56A5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4530748 </w:t>
                        </w:r>
                        <w:hyperlink r:id="rId5" w:history="1">
                          <w:r w:rsidRPr="00A56A53">
                            <w:rPr>
                              <w:rFonts w:ascii="Times New Roman" w:eastAsia="Times New Roman" w:hAnsi="Times New Roman" w:cs="Times New Roman"/>
                              <w:color w:val="1367CF"/>
                              <w:sz w:val="24"/>
                              <w:szCs w:val="24"/>
                              <w:bdr w:val="none" w:sz="0" w:space="0" w:color="auto" w:frame="1"/>
                              <w:lang w:eastAsia="ru-RU"/>
                            </w:rPr>
                            <w:t>Монтаж антенных устройств с сопутствующими работами и настройкой</w:t>
                          </w:r>
                        </w:hyperlink>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b/>
                            <w:bCs/>
                            <w:color w:val="000000"/>
                            <w:sz w:val="24"/>
                            <w:szCs w:val="24"/>
                            <w:lang w:eastAsia="ru-RU"/>
                          </w:rPr>
                          <w:t>43.99.50.120</w:t>
                        </w:r>
                        <w:r w:rsidRPr="00A56A53">
                          <w:rPr>
                            <w:rFonts w:ascii="Times New Roman" w:eastAsia="Times New Roman" w:hAnsi="Times New Roman" w:cs="Times New Roman"/>
                            <w:color w:val="000000"/>
                            <w:sz w:val="24"/>
                            <w:szCs w:val="24"/>
                            <w:lang w:eastAsia="ru-RU"/>
                          </w:rPr>
                          <w:t>  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b/>
                            <w:bCs/>
                            <w:color w:val="000000"/>
                            <w:sz w:val="24"/>
                            <w:szCs w:val="24"/>
                            <w:lang w:eastAsia="ru-RU"/>
                          </w:rPr>
                          <w:t>43.29</w:t>
                        </w:r>
                        <w:r w:rsidRPr="00A56A53">
                          <w:rPr>
                            <w:rFonts w:ascii="Times New Roman" w:eastAsia="Times New Roman" w:hAnsi="Times New Roman" w:cs="Times New Roman"/>
                            <w:color w:val="000000"/>
                            <w:sz w:val="24"/>
                            <w:szCs w:val="24"/>
                            <w:lang w:eastAsia="ru-RU"/>
                          </w:rPr>
                          <w:t xml:space="preserve">  Производство прочих строительно-монтажных работ </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1 </w:t>
                        </w:r>
                        <w:proofErr w:type="spellStart"/>
                        <w:r w:rsidRPr="00A56A53">
                          <w:rPr>
                            <w:rFonts w:ascii="Times New Roman" w:eastAsia="Times New Roman" w:hAnsi="Times New Roman" w:cs="Times New Roman"/>
                            <w:color w:val="000000"/>
                            <w:sz w:val="24"/>
                            <w:szCs w:val="24"/>
                            <w:lang w:eastAsia="ru-RU"/>
                          </w:rPr>
                          <w:t>усл</w:t>
                        </w:r>
                        <w:proofErr w:type="spellEnd"/>
                        <w:r w:rsidRPr="00A56A53">
                          <w:rPr>
                            <w:rFonts w:ascii="Times New Roman" w:eastAsia="Times New Roman" w:hAnsi="Times New Roman" w:cs="Times New Roman"/>
                            <w:color w:val="000000"/>
                            <w:sz w:val="24"/>
                            <w:szCs w:val="24"/>
                            <w:lang w:eastAsia="ru-RU"/>
                          </w:rPr>
                          <w:t xml:space="preserve">. </w:t>
                        </w:r>
                        <w:proofErr w:type="spellStart"/>
                        <w:r w:rsidRPr="00A56A53">
                          <w:rPr>
                            <w:rFonts w:ascii="Times New Roman" w:eastAsia="Times New Roman" w:hAnsi="Times New Roman" w:cs="Times New Roman"/>
                            <w:color w:val="000000"/>
                            <w:sz w:val="24"/>
                            <w:szCs w:val="24"/>
                            <w:lang w:eastAsia="ru-RU"/>
                          </w:rPr>
                          <w:t>ед</w:t>
                        </w:r>
                        <w:proofErr w:type="spellEnd"/>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b/>
                            <w:bCs/>
                            <w:color w:val="000000"/>
                            <w:sz w:val="24"/>
                            <w:szCs w:val="24"/>
                            <w:lang w:eastAsia="ru-RU"/>
                          </w:rPr>
                          <w:t>7 730 010,08 руб. (цена с НДС)</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b/>
                            <w:bCs/>
                            <w:color w:val="000000"/>
                            <w:sz w:val="24"/>
                            <w:szCs w:val="24"/>
                            <w:lang w:eastAsia="ru-RU"/>
                          </w:rPr>
                          <w:t>7 730 010,08 руб. (цена с НДС)</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Цена с НДС (</w:t>
                        </w:r>
                        <w:hyperlink r:id="rId6" w:history="1">
                          <w:r w:rsidRPr="00A56A53">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A56A53">
                          <w:rPr>
                            <w:rFonts w:ascii="Times New Roman" w:eastAsia="Times New Roman" w:hAnsi="Times New Roman" w:cs="Times New Roman"/>
                            <w:color w:val="000000"/>
                            <w:sz w:val="24"/>
                            <w:szCs w:val="24"/>
                            <w:lang w:eastAsia="ru-RU"/>
                          </w:rPr>
                          <w:t>)</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18.09.2017 06:41</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03.10.2017 09:00</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 xml:space="preserve">18.09.2017 06:41, </w:t>
                        </w:r>
                        <w:hyperlink r:id="rId7" w:tgtFrame="_blank" w:tooltip="Отправить личное сообщение" w:history="1">
                          <w:r w:rsidRPr="00A56A53">
                            <w:rPr>
                              <w:rFonts w:ascii="Times New Roman" w:eastAsia="Times New Roman" w:hAnsi="Times New Roman" w:cs="Times New Roman"/>
                              <w:color w:val="1367CF"/>
                              <w:sz w:val="24"/>
                              <w:szCs w:val="24"/>
                              <w:bdr w:val="none" w:sz="0" w:space="0" w:color="auto" w:frame="1"/>
                              <w:lang w:eastAsia="ru-RU"/>
                            </w:rPr>
                            <w:t>Ясковец Игорь Иванович</w:t>
                          </w:r>
                        </w:hyperlink>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8" w:tgtFrame="_blank" w:tooltip="Отправить личное сообщение" w:history="1">
                          <w:r w:rsidRPr="00A56A53">
                            <w:rPr>
                              <w:rFonts w:ascii="Times New Roman" w:eastAsia="Times New Roman" w:hAnsi="Times New Roman" w:cs="Times New Roman"/>
                              <w:color w:val="1367CF"/>
                              <w:sz w:val="24"/>
                              <w:szCs w:val="24"/>
                              <w:bdr w:val="none" w:sz="0" w:space="0" w:color="auto" w:frame="1"/>
                              <w:lang w:eastAsia="ru-RU"/>
                            </w:rPr>
                            <w:t>Туниекова Ольга Юрьевна</w:t>
                          </w:r>
                        </w:hyperlink>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9" w:history="1">
                          <w:r w:rsidRPr="00A56A53">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A56A53">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56A53">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A56A53">
                            <w:rPr>
                              <w:rFonts w:ascii="Times New Roman" w:eastAsia="Times New Roman" w:hAnsi="Times New Roman" w:cs="Times New Roman"/>
                              <w:color w:val="1367CF"/>
                              <w:sz w:val="24"/>
                              <w:szCs w:val="24"/>
                              <w:bdr w:val="none" w:sz="0" w:space="0" w:color="auto" w:frame="1"/>
                              <w:lang w:eastAsia="ru-RU"/>
                            </w:rPr>
                            <w:t>Нижневартовские</w:t>
                          </w:r>
                          <w:proofErr w:type="spellEnd"/>
                          <w:r w:rsidRPr="00A56A53">
                            <w:rPr>
                              <w:rFonts w:ascii="Times New Roman" w:eastAsia="Times New Roman" w:hAnsi="Times New Roman" w:cs="Times New Roman"/>
                              <w:color w:val="1367CF"/>
                              <w:sz w:val="24"/>
                              <w:szCs w:val="24"/>
                              <w:bdr w:val="none" w:sz="0" w:space="0" w:color="auto" w:frame="1"/>
                              <w:lang w:eastAsia="ru-RU"/>
                            </w:rPr>
                            <w:t xml:space="preserve"> электрические сети</w:t>
                          </w:r>
                        </w:hyperlink>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10" w:history="1">
                          <w:r w:rsidRPr="00A56A53">
                            <w:rPr>
                              <w:rFonts w:ascii="Times New Roman" w:eastAsia="Times New Roman" w:hAnsi="Times New Roman" w:cs="Times New Roman"/>
                              <w:color w:val="1367CF"/>
                              <w:sz w:val="24"/>
                              <w:szCs w:val="24"/>
                              <w:bdr w:val="none" w:sz="0" w:space="0" w:color="auto" w:frame="1"/>
                              <w:lang w:eastAsia="ru-RU"/>
                            </w:rPr>
                            <w:t>АО "</w:t>
                          </w:r>
                          <w:proofErr w:type="spellStart"/>
                          <w:r w:rsidRPr="00A56A53">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56A53">
                            <w:rPr>
                              <w:rFonts w:ascii="Times New Roman" w:eastAsia="Times New Roman" w:hAnsi="Times New Roman" w:cs="Times New Roman"/>
                              <w:color w:val="1367CF"/>
                              <w:sz w:val="24"/>
                              <w:szCs w:val="24"/>
                              <w:bdr w:val="none" w:sz="0" w:space="0" w:color="auto" w:frame="1"/>
                              <w:lang w:eastAsia="ru-RU"/>
                            </w:rPr>
                            <w:t>"</w:t>
                          </w:r>
                        </w:hyperlink>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Контактный адрес e-</w:t>
                        </w:r>
                        <w:proofErr w:type="spellStart"/>
                        <w:r w:rsidRPr="00A56A53">
                          <w:rPr>
                            <w:rFonts w:ascii="Times New Roman" w:eastAsia="Times New Roman" w:hAnsi="Times New Roman" w:cs="Times New Roman"/>
                            <w:color w:val="000000"/>
                            <w:sz w:val="24"/>
                            <w:szCs w:val="24"/>
                            <w:lang w:eastAsia="ru-RU"/>
                          </w:rPr>
                          <w:t>mail</w:t>
                        </w:r>
                        <w:proofErr w:type="spellEnd"/>
                        <w:r w:rsidRPr="00A56A53">
                          <w:rPr>
                            <w:rFonts w:ascii="Times New Roman" w:eastAsia="Times New Roman" w:hAnsi="Times New Roman" w:cs="Times New Roman"/>
                            <w:color w:val="000000"/>
                            <w:sz w:val="24"/>
                            <w:szCs w:val="24"/>
                            <w:lang w:eastAsia="ru-RU"/>
                          </w:rPr>
                          <w:t>:</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11" w:history="1">
                          <w:r w:rsidRPr="00A56A53">
                            <w:rPr>
                              <w:rFonts w:ascii="Times New Roman" w:eastAsia="Times New Roman" w:hAnsi="Times New Roman" w:cs="Times New Roman"/>
                              <w:color w:val="1367CF"/>
                              <w:sz w:val="24"/>
                              <w:szCs w:val="24"/>
                              <w:bdr w:val="none" w:sz="0" w:space="0" w:color="auto" w:frame="1"/>
                              <w:lang w:eastAsia="ru-RU"/>
                            </w:rPr>
                            <w:t>tuniekova-oyu@te.ru</w:t>
                          </w:r>
                        </w:hyperlink>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+7 (3466) 48-41-89</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12" w:history="1">
                          <w:r w:rsidRPr="00A56A53">
                            <w:rPr>
                              <w:rFonts w:ascii="Times New Roman" w:eastAsia="Times New Roman" w:hAnsi="Times New Roman" w:cs="Times New Roman"/>
                              <w:color w:val="1367CF"/>
                              <w:sz w:val="24"/>
                              <w:szCs w:val="24"/>
                              <w:bdr w:val="none" w:sz="0" w:space="0" w:color="auto" w:frame="1"/>
                              <w:lang w:eastAsia="ru-RU"/>
                            </w:rPr>
                            <w:t>Строка № 791 плана закупок на 2017 год</w:t>
                          </w:r>
                        </w:hyperlink>
                      </w:p>
                    </w:tc>
                  </w:tr>
                </w:tbl>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p>
              </w:tc>
            </w:tr>
            <w:tr w:rsidR="00A56A53" w:rsidRPr="00A56A53">
              <w:trPr>
                <w:tblCellSpacing w:w="7" w:type="dxa"/>
              </w:trPr>
              <w:tc>
                <w:tcPr>
                  <w:tcW w:w="0" w:type="auto"/>
                  <w:shd w:val="clear" w:color="auto" w:fill="C7CCD3"/>
                  <w:tcMar>
                    <w:top w:w="75" w:type="dxa"/>
                    <w:left w:w="75" w:type="dxa"/>
                    <w:bottom w:w="75" w:type="dxa"/>
                    <w:right w:w="75" w:type="dxa"/>
                  </w:tcMar>
                  <w:hideMark/>
                </w:tcPr>
                <w:p w:rsidR="00A56A53" w:rsidRPr="00A56A53" w:rsidRDefault="00A56A53" w:rsidP="00A56A53">
                  <w:pPr>
                    <w:spacing w:after="0" w:line="240" w:lineRule="auto"/>
                    <w:rPr>
                      <w:rFonts w:ascii="Times New Roman" w:eastAsia="Times New Roman" w:hAnsi="Times New Roman" w:cs="Times New Roman"/>
                      <w:color w:val="333333"/>
                      <w:sz w:val="24"/>
                      <w:szCs w:val="24"/>
                      <w:lang w:eastAsia="ru-RU"/>
                    </w:rPr>
                  </w:pPr>
                  <w:r w:rsidRPr="00A56A53">
                    <w:rPr>
                      <w:rFonts w:ascii="Times New Roman" w:eastAsia="Times New Roman" w:hAnsi="Times New Roman" w:cs="Times New Roman"/>
                      <w:color w:val="333333"/>
                      <w:sz w:val="24"/>
                      <w:szCs w:val="24"/>
                      <w:lang w:eastAsia="ru-RU"/>
                    </w:rPr>
                    <w:t>Дополнительная информация</w:t>
                  </w:r>
                </w:p>
              </w:tc>
            </w:tr>
            <w:tr w:rsidR="00A56A53" w:rsidRPr="00A56A5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Двухэтапная процедура закупки</w:t>
                        </w:r>
                        <w:r w:rsidRPr="00A56A53">
                          <w:rPr>
                            <w:rFonts w:ascii="Times New Roman" w:eastAsia="Times New Roman" w:hAnsi="Times New Roman" w:cs="Times New Roman"/>
                            <w:noProof/>
                            <w:color w:val="000000"/>
                            <w:sz w:val="24"/>
                            <w:szCs w:val="24"/>
                            <w:lang w:eastAsia="ru-RU"/>
                          </w:rPr>
                          <w:drawing>
                            <wp:inline distT="0" distB="0" distL="0" distR="0" wp14:anchorId="139F620D" wp14:editId="3CE5EF19">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56A53" w:rsidRPr="00A56A53" w:rsidRDefault="00A56A53" w:rsidP="00A56A53">
                        <w:pPr>
                          <w:spacing w:after="0" w:line="240" w:lineRule="auto"/>
                          <w:rPr>
                            <w:rFonts w:ascii="Times New Roman" w:eastAsia="Times New Roman" w:hAnsi="Times New Roman" w:cs="Times New Roman"/>
                            <w:vanish/>
                            <w:color w:val="000000"/>
                            <w:sz w:val="24"/>
                            <w:szCs w:val="24"/>
                            <w:lang w:eastAsia="ru-RU"/>
                          </w:rPr>
                        </w:pPr>
                        <w:r w:rsidRPr="00A56A53">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Нет</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lastRenderedPageBreak/>
                          <w:t>Альтернативные заявки</w:t>
                        </w:r>
                        <w:r w:rsidRPr="00A56A53">
                          <w:rPr>
                            <w:rFonts w:ascii="Times New Roman" w:eastAsia="Times New Roman" w:hAnsi="Times New Roman" w:cs="Times New Roman"/>
                            <w:noProof/>
                            <w:color w:val="000000"/>
                            <w:sz w:val="24"/>
                            <w:szCs w:val="24"/>
                            <w:lang w:eastAsia="ru-RU"/>
                          </w:rPr>
                          <w:drawing>
                            <wp:inline distT="0" distB="0" distL="0" distR="0" wp14:anchorId="64814032" wp14:editId="5A14B238">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56A53" w:rsidRPr="00A56A53" w:rsidRDefault="00A56A53" w:rsidP="00A56A53">
                        <w:pPr>
                          <w:spacing w:after="0" w:line="240" w:lineRule="auto"/>
                          <w:rPr>
                            <w:rFonts w:ascii="Times New Roman" w:eastAsia="Times New Roman" w:hAnsi="Times New Roman" w:cs="Times New Roman"/>
                            <w:vanish/>
                            <w:color w:val="000000"/>
                            <w:sz w:val="24"/>
                            <w:szCs w:val="24"/>
                            <w:lang w:eastAsia="ru-RU"/>
                          </w:rPr>
                        </w:pPr>
                        <w:r w:rsidRPr="00A56A53">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Нет</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A56A53">
                          <w:rPr>
                            <w:rFonts w:ascii="Times New Roman" w:eastAsia="Times New Roman" w:hAnsi="Times New Roman" w:cs="Times New Roman"/>
                            <w:noProof/>
                            <w:color w:val="000000"/>
                            <w:sz w:val="24"/>
                            <w:szCs w:val="24"/>
                            <w:lang w:eastAsia="ru-RU"/>
                          </w:rPr>
                          <w:drawing>
                            <wp:inline distT="0" distB="0" distL="0" distR="0" wp14:anchorId="4D88B633" wp14:editId="2362B06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56A53" w:rsidRPr="00A56A53" w:rsidRDefault="00A56A53" w:rsidP="00A56A53">
                        <w:pPr>
                          <w:spacing w:after="0" w:line="240" w:lineRule="auto"/>
                          <w:rPr>
                            <w:rFonts w:ascii="Times New Roman" w:eastAsia="Times New Roman" w:hAnsi="Times New Roman" w:cs="Times New Roman"/>
                            <w:vanish/>
                            <w:color w:val="000000"/>
                            <w:sz w:val="24"/>
                            <w:szCs w:val="24"/>
                            <w:lang w:eastAsia="ru-RU"/>
                          </w:rPr>
                        </w:pPr>
                        <w:r w:rsidRPr="00A56A53">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proofErr w:type="spellStart"/>
                        <w:r w:rsidRPr="00A56A53">
                          <w:rPr>
                            <w:rFonts w:ascii="Times New Roman" w:eastAsia="Times New Roman" w:hAnsi="Times New Roman" w:cs="Times New Roman"/>
                            <w:color w:val="000000"/>
                            <w:sz w:val="24"/>
                            <w:szCs w:val="24"/>
                            <w:lang w:eastAsia="ru-RU"/>
                          </w:rPr>
                          <w:t>Подгрузка</w:t>
                        </w:r>
                        <w:proofErr w:type="spellEnd"/>
                        <w:r w:rsidRPr="00A56A53">
                          <w:rPr>
                            <w:rFonts w:ascii="Times New Roman" w:eastAsia="Times New Roman" w:hAnsi="Times New Roman" w:cs="Times New Roman"/>
                            <w:color w:val="000000"/>
                            <w:sz w:val="24"/>
                            <w:szCs w:val="24"/>
                            <w:lang w:eastAsia="ru-RU"/>
                          </w:rPr>
                          <w:t xml:space="preserve"> документации к заявке обязательна</w:t>
                        </w:r>
                        <w:r w:rsidRPr="00A56A53">
                          <w:rPr>
                            <w:rFonts w:ascii="Times New Roman" w:eastAsia="Times New Roman" w:hAnsi="Times New Roman" w:cs="Times New Roman"/>
                            <w:noProof/>
                            <w:color w:val="000000"/>
                            <w:sz w:val="24"/>
                            <w:szCs w:val="24"/>
                            <w:lang w:eastAsia="ru-RU"/>
                          </w:rPr>
                          <w:drawing>
                            <wp:inline distT="0" distB="0" distL="0" distR="0" wp14:anchorId="10C29BEC" wp14:editId="294FB990">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56A53" w:rsidRPr="00A56A53" w:rsidRDefault="00A56A53" w:rsidP="00A56A53">
                        <w:pPr>
                          <w:spacing w:after="0" w:line="240" w:lineRule="auto"/>
                          <w:rPr>
                            <w:rFonts w:ascii="Times New Roman" w:eastAsia="Times New Roman" w:hAnsi="Times New Roman" w:cs="Times New Roman"/>
                            <w:vanish/>
                            <w:color w:val="000000"/>
                            <w:sz w:val="24"/>
                            <w:szCs w:val="24"/>
                            <w:lang w:eastAsia="ru-RU"/>
                          </w:rPr>
                        </w:pPr>
                        <w:r w:rsidRPr="00A56A53">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A56A53">
                          <w:rPr>
                            <w:rFonts w:ascii="Times New Roman" w:eastAsia="Times New Roman" w:hAnsi="Times New Roman" w:cs="Times New Roman"/>
                            <w:noProof/>
                            <w:color w:val="000000"/>
                            <w:sz w:val="24"/>
                            <w:szCs w:val="24"/>
                            <w:lang w:eastAsia="ru-RU"/>
                          </w:rPr>
                          <w:drawing>
                            <wp:inline distT="0" distB="0" distL="0" distR="0" wp14:anchorId="14E45499" wp14:editId="0325CE4D">
                              <wp:extent cx="143510" cy="143510"/>
                              <wp:effectExtent l="0" t="0" r="8890" b="889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56A53" w:rsidRPr="00A56A53" w:rsidRDefault="00A56A53" w:rsidP="00A56A53">
                        <w:pPr>
                          <w:spacing w:after="0" w:line="240" w:lineRule="auto"/>
                          <w:rPr>
                            <w:rFonts w:ascii="Times New Roman" w:eastAsia="Times New Roman" w:hAnsi="Times New Roman" w:cs="Times New Roman"/>
                            <w:vanish/>
                            <w:color w:val="000000"/>
                            <w:sz w:val="24"/>
                            <w:szCs w:val="24"/>
                            <w:lang w:eastAsia="ru-RU"/>
                          </w:rPr>
                        </w:pPr>
                        <w:r w:rsidRPr="00A56A53">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A56A53">
                          <w:rPr>
                            <w:rFonts w:ascii="Times New Roman" w:eastAsia="Times New Roman" w:hAnsi="Times New Roman" w:cs="Times New Roman"/>
                            <w:noProof/>
                            <w:color w:val="000000"/>
                            <w:sz w:val="24"/>
                            <w:szCs w:val="24"/>
                            <w:lang w:eastAsia="ru-RU"/>
                          </w:rPr>
                          <w:drawing>
                            <wp:inline distT="0" distB="0" distL="0" distR="0" wp14:anchorId="168E3D56" wp14:editId="35A6DC80">
                              <wp:extent cx="143510" cy="143510"/>
                              <wp:effectExtent l="0" t="0" r="8890" b="889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56A53" w:rsidRPr="00A56A53" w:rsidRDefault="00A56A53" w:rsidP="00A56A53">
                        <w:pPr>
                          <w:spacing w:after="0" w:line="240" w:lineRule="auto"/>
                          <w:rPr>
                            <w:rFonts w:ascii="Times New Roman" w:eastAsia="Times New Roman" w:hAnsi="Times New Roman" w:cs="Times New Roman"/>
                            <w:vanish/>
                            <w:color w:val="000000"/>
                            <w:sz w:val="24"/>
                            <w:szCs w:val="24"/>
                            <w:lang w:eastAsia="ru-RU"/>
                          </w:rPr>
                        </w:pPr>
                        <w:r w:rsidRPr="00A56A53">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14" w:tgtFrame="_blank" w:history="1">
                          <w:r w:rsidRPr="00A56A53">
                            <w:rPr>
                              <w:rFonts w:ascii="Times New Roman" w:eastAsia="Times New Roman" w:hAnsi="Times New Roman" w:cs="Times New Roman"/>
                              <w:color w:val="1367CF"/>
                              <w:sz w:val="24"/>
                              <w:szCs w:val="24"/>
                              <w:bdr w:val="none" w:sz="0" w:space="0" w:color="auto" w:frame="1"/>
                              <w:lang w:eastAsia="ru-RU"/>
                            </w:rPr>
                            <w:t xml:space="preserve">Скачать файл </w:t>
                          </w:r>
                          <w:r w:rsidRPr="00A56A53">
                            <w:rPr>
                              <w:rFonts w:ascii="Times New Roman" w:eastAsia="Times New Roman" w:hAnsi="Times New Roman" w:cs="Times New Roman"/>
                              <w:b/>
                              <w:bCs/>
                              <w:color w:val="1367CF"/>
                              <w:sz w:val="24"/>
                              <w:szCs w:val="24"/>
                              <w:bdr w:val="none" w:sz="0" w:space="0" w:color="auto" w:frame="1"/>
                              <w:lang w:eastAsia="ru-RU"/>
                            </w:rPr>
                            <w:t>Закупочная документация.zip</w:t>
                          </w:r>
                        </w:hyperlink>
                        <w:r w:rsidRPr="00A56A53">
                          <w:rPr>
                            <w:rFonts w:ascii="Times New Roman" w:eastAsia="Times New Roman" w:hAnsi="Times New Roman" w:cs="Times New Roman"/>
                            <w:color w:val="000000"/>
                            <w:sz w:val="24"/>
                            <w:szCs w:val="24"/>
                            <w:lang w:eastAsia="ru-RU"/>
                          </w:rPr>
                          <w:t> (7.1 МБ)</w:t>
                        </w:r>
                      </w:p>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15" w:tgtFrame="signature" w:history="1">
                          <w:r w:rsidRPr="00A56A5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Согласно Приложению №2 к Закупочной документации «Проект договора», раздел 3 «Стоимость работ и порядок расчетов»</w:t>
                        </w:r>
                        <w:r w:rsidRPr="00A56A53">
                          <w:rPr>
                            <w:rFonts w:ascii="Times New Roman" w:eastAsia="Times New Roman" w:hAnsi="Times New Roman" w:cs="Times New Roman"/>
                            <w:color w:val="000000"/>
                            <w:sz w:val="24"/>
                            <w:szCs w:val="24"/>
                            <w:lang w:eastAsia="ru-RU"/>
                          </w:rPr>
                          <w:br/>
                        </w:r>
                        <w:r w:rsidRPr="00A56A53">
                          <w:rPr>
                            <w:rFonts w:ascii="Times New Roman" w:eastAsia="Times New Roman" w:hAnsi="Times New Roman" w:cs="Times New Roman"/>
                            <w:color w:val="000000"/>
                            <w:sz w:val="24"/>
                            <w:szCs w:val="24"/>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Согласно Приложению №1 к Закупочной документации «Техническое задание».</w:t>
                        </w:r>
                        <w:r w:rsidRPr="00A56A53">
                          <w:rPr>
                            <w:rFonts w:ascii="Times New Roman" w:eastAsia="Times New Roman" w:hAnsi="Times New Roman" w:cs="Times New Roman"/>
                            <w:color w:val="000000"/>
                            <w:sz w:val="24"/>
                            <w:szCs w:val="24"/>
                            <w:lang w:eastAsia="ru-RU"/>
                          </w:rPr>
                          <w:br/>
                          <w:t xml:space="preserve">Срок выполнения работ: </w:t>
                        </w:r>
                        <w:r w:rsidRPr="00A56A53">
                          <w:rPr>
                            <w:rFonts w:ascii="Times New Roman" w:eastAsia="Times New Roman" w:hAnsi="Times New Roman" w:cs="Times New Roman"/>
                            <w:color w:val="000000"/>
                            <w:sz w:val="24"/>
                            <w:szCs w:val="24"/>
                            <w:lang w:eastAsia="ru-RU"/>
                          </w:rPr>
                          <w:br/>
                          <w:t>Начало выполнения - с даты подписания договора</w:t>
                        </w:r>
                        <w:r w:rsidRPr="00A56A53">
                          <w:rPr>
                            <w:rFonts w:ascii="Times New Roman" w:eastAsia="Times New Roman" w:hAnsi="Times New Roman" w:cs="Times New Roman"/>
                            <w:color w:val="000000"/>
                            <w:sz w:val="24"/>
                            <w:szCs w:val="24"/>
                            <w:lang w:eastAsia="ru-RU"/>
                          </w:rPr>
                          <w:br/>
                          <w:t>Срок окончания выполнения работ - не позднее 20.12.2017г.</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Россия, Тюменская обл., ХМАО-Югра, г. Нижневартовск, ул. Пермская, 22</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23.10.2017 15:00</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02.11.2017 15:00</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A56A53">
                          <w:rPr>
                            <w:rFonts w:ascii="Times New Roman" w:eastAsia="Times New Roman" w:hAnsi="Times New Roman" w:cs="Times New Roman"/>
                            <w:color w:val="000000"/>
                            <w:sz w:val="24"/>
                            <w:szCs w:val="24"/>
                            <w:lang w:eastAsia="ru-RU"/>
                          </w:rPr>
                          <w:pict/>
                        </w:r>
                      </w:p>
                    </w:tc>
                  </w:tr>
                  <w:tr w:rsidR="00A56A53" w:rsidRPr="00A56A53">
                    <w:trPr>
                      <w:tblCellSpacing w:w="0" w:type="dxa"/>
                    </w:trPr>
                    <w:tc>
                      <w:tcPr>
                        <w:tcW w:w="0" w:type="auto"/>
                        <w:gridSpan w:val="2"/>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b/>
                            <w:bCs/>
                            <w:color w:val="000000"/>
                            <w:sz w:val="24"/>
                            <w:szCs w:val="24"/>
                            <w:lang w:eastAsia="ru-RU"/>
                          </w:rPr>
                          <w:t>Комментарии:</w:t>
                        </w:r>
                        <w:r w:rsidRPr="00A56A53">
                          <w:rPr>
                            <w:rFonts w:ascii="Times New Roman" w:eastAsia="Times New Roman" w:hAnsi="Times New Roman" w:cs="Times New Roman"/>
                            <w:color w:val="000000"/>
                            <w:sz w:val="24"/>
                            <w:szCs w:val="24"/>
                            <w:lang w:eastAsia="ru-RU"/>
                          </w:rPr>
                          <w:br/>
                          <w:t xml:space="preserve">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A56A53">
                          <w:rPr>
                            <w:rFonts w:ascii="Times New Roman" w:eastAsia="Times New Roman" w:hAnsi="Times New Roman" w:cs="Times New Roman"/>
                            <w:color w:val="000000"/>
                            <w:sz w:val="24"/>
                            <w:szCs w:val="24"/>
                            <w:lang w:eastAsia="ru-RU"/>
                          </w:rPr>
                          <w:lastRenderedPageBreak/>
                          <w:t>оказываемым иностранными лицами.</w:t>
                        </w:r>
                        <w:r w:rsidRPr="00A56A53">
                          <w:rPr>
                            <w:rFonts w:ascii="Times New Roman" w:eastAsia="Times New Roman" w:hAnsi="Times New Roman" w:cs="Times New Roman"/>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56A53">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56A53">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56A53">
                          <w:rPr>
                            <w:rFonts w:ascii="Times New Roman" w:eastAsia="Times New Roman" w:hAnsi="Times New Roman" w:cs="Times New Roman"/>
                            <w:color w:val="000000"/>
                            <w:sz w:val="24"/>
                            <w:szCs w:val="24"/>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A56A53">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56A53">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56A53">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56A53">
                          <w:rPr>
                            <w:rFonts w:ascii="Times New Roman" w:eastAsia="Times New Roman" w:hAnsi="Times New Roman" w:cs="Times New Roman"/>
                            <w:color w:val="000000"/>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56A53" w:rsidRPr="00A56A53">
                    <w:trPr>
                      <w:tblCellSpacing w:w="0" w:type="dxa"/>
                    </w:trPr>
                    <w:tc>
                      <w:tcPr>
                        <w:tcW w:w="2000" w:type="pct"/>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r w:rsidRPr="00A56A53">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hyperlink r:id="rId16" w:tgtFrame="signature" w:history="1">
                          <w:r w:rsidRPr="00A56A5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56A53" w:rsidRPr="00A56A53">
                    <w:trPr>
                      <w:tblCellSpacing w:w="0" w:type="dxa"/>
                    </w:trPr>
                    <w:tc>
                      <w:tcPr>
                        <w:tcW w:w="2000" w:type="pct"/>
                        <w:shd w:val="clear" w:color="auto" w:fill="EDF0F3"/>
                        <w:hideMark/>
                      </w:tcPr>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EDF0F3"/>
                        <w:vAlign w:val="center"/>
                        <w:hideMark/>
                      </w:tcPr>
                      <w:p w:rsidR="00A56A53" w:rsidRPr="00A56A53" w:rsidRDefault="00A56A53" w:rsidP="00A56A53">
                        <w:pPr>
                          <w:spacing w:after="0" w:line="240" w:lineRule="auto"/>
                          <w:rPr>
                            <w:rFonts w:ascii="Times New Roman" w:eastAsia="Times New Roman" w:hAnsi="Times New Roman" w:cs="Times New Roman"/>
                            <w:sz w:val="24"/>
                            <w:szCs w:val="24"/>
                            <w:lang w:eastAsia="ru-RU"/>
                          </w:rPr>
                        </w:pPr>
                      </w:p>
                    </w:tc>
                  </w:tr>
                </w:tbl>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p>
              </w:tc>
            </w:tr>
          </w:tbl>
          <w:p w:rsidR="00A56A53" w:rsidRPr="00A56A53" w:rsidRDefault="00A56A53" w:rsidP="00A56A53">
            <w:pPr>
              <w:spacing w:after="0" w:line="240" w:lineRule="auto"/>
              <w:rPr>
                <w:rFonts w:ascii="Times New Roman" w:eastAsia="Times New Roman" w:hAnsi="Times New Roman" w:cs="Times New Roman"/>
                <w:color w:val="000000"/>
                <w:sz w:val="24"/>
                <w:szCs w:val="24"/>
                <w:lang w:eastAsia="ru-RU"/>
              </w:rPr>
            </w:pPr>
          </w:p>
        </w:tc>
      </w:tr>
    </w:tbl>
    <w:p w:rsidR="00B146CF" w:rsidRPr="00A56A53" w:rsidRDefault="00B146CF" w:rsidP="00A56A53">
      <w:pPr>
        <w:spacing w:line="240" w:lineRule="auto"/>
        <w:rPr>
          <w:rFonts w:ascii="Times New Roman" w:hAnsi="Times New Roman" w:cs="Times New Roman"/>
          <w:sz w:val="24"/>
          <w:szCs w:val="24"/>
        </w:rPr>
      </w:pPr>
    </w:p>
    <w:sectPr w:rsidR="00B146CF" w:rsidRPr="00A56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6D9B10EE"/>
    <w:multiLevelType w:val="multilevel"/>
    <w:tmpl w:val="534039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53"/>
    <w:rsid w:val="00A56A53"/>
    <w:rsid w:val="00B1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81EB7-D592-49BC-AC79-0459254F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356931">
      <w:bodyDiv w:val="1"/>
      <w:marLeft w:val="0"/>
      <w:marRight w:val="0"/>
      <w:marTop w:val="0"/>
      <w:marBottom w:val="0"/>
      <w:divBdr>
        <w:top w:val="none" w:sz="0" w:space="0" w:color="auto"/>
        <w:left w:val="none" w:sz="0" w:space="0" w:color="auto"/>
        <w:bottom w:val="none" w:sz="0" w:space="0" w:color="auto"/>
        <w:right w:val="none" w:sz="0" w:space="0" w:color="auto"/>
      </w:divBdr>
      <w:divsChild>
        <w:div w:id="1315262378">
          <w:marLeft w:val="0"/>
          <w:marRight w:val="0"/>
          <w:marTop w:val="0"/>
          <w:marBottom w:val="0"/>
          <w:divBdr>
            <w:top w:val="none" w:sz="0" w:space="0" w:color="auto"/>
            <w:left w:val="none" w:sz="0" w:space="0" w:color="auto"/>
            <w:bottom w:val="none" w:sz="0" w:space="0" w:color="auto"/>
            <w:right w:val="none" w:sz="0" w:space="0" w:color="auto"/>
          </w:divBdr>
          <w:divsChild>
            <w:div w:id="1139886602">
              <w:marLeft w:val="0"/>
              <w:marRight w:val="0"/>
              <w:marTop w:val="0"/>
              <w:marBottom w:val="0"/>
              <w:divBdr>
                <w:top w:val="none" w:sz="0" w:space="0" w:color="auto"/>
                <w:left w:val="none" w:sz="0" w:space="0" w:color="auto"/>
                <w:bottom w:val="none" w:sz="0" w:space="0" w:color="auto"/>
                <w:right w:val="none" w:sz="0" w:space="0" w:color="auto"/>
              </w:divBdr>
              <w:divsChild>
                <w:div w:id="61293724">
                  <w:marLeft w:val="0"/>
                  <w:marRight w:val="0"/>
                  <w:marTop w:val="0"/>
                  <w:marBottom w:val="0"/>
                  <w:divBdr>
                    <w:top w:val="none" w:sz="0" w:space="0" w:color="auto"/>
                    <w:left w:val="none" w:sz="0" w:space="0" w:color="auto"/>
                    <w:bottom w:val="none" w:sz="0" w:space="0" w:color="auto"/>
                    <w:right w:val="none" w:sz="0" w:space="0" w:color="auto"/>
                  </w:divBdr>
                  <w:divsChild>
                    <w:div w:id="824736346">
                      <w:marLeft w:val="0"/>
                      <w:marRight w:val="-450"/>
                      <w:marTop w:val="0"/>
                      <w:marBottom w:val="0"/>
                      <w:divBdr>
                        <w:top w:val="none" w:sz="0" w:space="0" w:color="auto"/>
                        <w:left w:val="none" w:sz="0" w:space="0" w:color="auto"/>
                        <w:bottom w:val="none" w:sz="0" w:space="0" w:color="auto"/>
                        <w:right w:val="none" w:sz="0" w:space="0" w:color="auto"/>
                      </w:divBdr>
                      <w:divsChild>
                        <w:div w:id="18073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7650">
              <w:marLeft w:val="0"/>
              <w:marRight w:val="0"/>
              <w:marTop w:val="0"/>
              <w:marBottom w:val="0"/>
              <w:divBdr>
                <w:top w:val="none" w:sz="0" w:space="0" w:color="auto"/>
                <w:left w:val="none" w:sz="0" w:space="0" w:color="auto"/>
                <w:bottom w:val="none" w:sz="0" w:space="0" w:color="auto"/>
                <w:right w:val="none" w:sz="0" w:space="0" w:color="auto"/>
              </w:divBdr>
              <w:divsChild>
                <w:div w:id="435517084">
                  <w:marLeft w:val="0"/>
                  <w:marRight w:val="0"/>
                  <w:marTop w:val="0"/>
                  <w:marBottom w:val="0"/>
                  <w:divBdr>
                    <w:top w:val="none" w:sz="0" w:space="0" w:color="auto"/>
                    <w:left w:val="none" w:sz="0" w:space="0" w:color="auto"/>
                    <w:bottom w:val="none" w:sz="0" w:space="0" w:color="auto"/>
                    <w:right w:val="none" w:sz="0" w:space="0" w:color="auto"/>
                  </w:divBdr>
                </w:div>
                <w:div w:id="1719817266">
                  <w:marLeft w:val="0"/>
                  <w:marRight w:val="0"/>
                  <w:marTop w:val="0"/>
                  <w:marBottom w:val="0"/>
                  <w:divBdr>
                    <w:top w:val="none" w:sz="0" w:space="0" w:color="auto"/>
                    <w:left w:val="none" w:sz="0" w:space="0" w:color="auto"/>
                    <w:bottom w:val="none" w:sz="0" w:space="0" w:color="auto"/>
                    <w:right w:val="none" w:sz="0" w:space="0" w:color="auto"/>
                  </w:divBdr>
                </w:div>
                <w:div w:id="827745564">
                  <w:marLeft w:val="0"/>
                  <w:marRight w:val="0"/>
                  <w:marTop w:val="0"/>
                  <w:marBottom w:val="0"/>
                  <w:divBdr>
                    <w:top w:val="none" w:sz="0" w:space="0" w:color="auto"/>
                    <w:left w:val="none" w:sz="0" w:space="0" w:color="auto"/>
                    <w:bottom w:val="none" w:sz="0" w:space="0" w:color="auto"/>
                    <w:right w:val="none" w:sz="0" w:space="0" w:color="auto"/>
                  </w:divBdr>
                </w:div>
                <w:div w:id="114641998">
                  <w:marLeft w:val="0"/>
                  <w:marRight w:val="0"/>
                  <w:marTop w:val="0"/>
                  <w:marBottom w:val="0"/>
                  <w:divBdr>
                    <w:top w:val="none" w:sz="0" w:space="0" w:color="auto"/>
                    <w:left w:val="none" w:sz="0" w:space="0" w:color="auto"/>
                    <w:bottom w:val="none" w:sz="0" w:space="0" w:color="auto"/>
                    <w:right w:val="none" w:sz="0" w:space="0" w:color="auto"/>
                  </w:divBdr>
                </w:div>
                <w:div w:id="2101293608">
                  <w:marLeft w:val="0"/>
                  <w:marRight w:val="0"/>
                  <w:marTop w:val="0"/>
                  <w:marBottom w:val="0"/>
                  <w:divBdr>
                    <w:top w:val="none" w:sz="0" w:space="0" w:color="auto"/>
                    <w:left w:val="none" w:sz="0" w:space="0" w:color="auto"/>
                    <w:bottom w:val="none" w:sz="0" w:space="0" w:color="auto"/>
                    <w:right w:val="none" w:sz="0" w:space="0" w:color="auto"/>
                  </w:divBdr>
                </w:div>
                <w:div w:id="1312324521">
                  <w:marLeft w:val="0"/>
                  <w:marRight w:val="0"/>
                  <w:marTop w:val="0"/>
                  <w:marBottom w:val="0"/>
                  <w:divBdr>
                    <w:top w:val="none" w:sz="0" w:space="0" w:color="auto"/>
                    <w:left w:val="none" w:sz="0" w:space="0" w:color="auto"/>
                    <w:bottom w:val="none" w:sz="0" w:space="0" w:color="auto"/>
                    <w:right w:val="none" w:sz="0" w:space="0" w:color="auto"/>
                  </w:divBdr>
                </w:div>
                <w:div w:id="904536887">
                  <w:marLeft w:val="0"/>
                  <w:marRight w:val="0"/>
                  <w:marTop w:val="0"/>
                  <w:marBottom w:val="0"/>
                  <w:divBdr>
                    <w:top w:val="none" w:sz="0" w:space="0" w:color="auto"/>
                    <w:left w:val="none" w:sz="0" w:space="0" w:color="auto"/>
                    <w:bottom w:val="none" w:sz="0" w:space="0" w:color="auto"/>
                    <w:right w:val="none" w:sz="0" w:space="0" w:color="auto"/>
                  </w:divBdr>
                </w:div>
                <w:div w:id="215288577">
                  <w:marLeft w:val="0"/>
                  <w:marRight w:val="0"/>
                  <w:marTop w:val="0"/>
                  <w:marBottom w:val="0"/>
                  <w:divBdr>
                    <w:top w:val="none" w:sz="0" w:space="0" w:color="auto"/>
                    <w:left w:val="none" w:sz="0" w:space="0" w:color="auto"/>
                    <w:bottom w:val="none" w:sz="0" w:space="0" w:color="auto"/>
                    <w:right w:val="none" w:sz="0" w:space="0" w:color="auto"/>
                  </w:divBdr>
                </w:div>
                <w:div w:id="760565740">
                  <w:marLeft w:val="0"/>
                  <w:marRight w:val="0"/>
                  <w:marTop w:val="0"/>
                  <w:marBottom w:val="0"/>
                  <w:divBdr>
                    <w:top w:val="none" w:sz="0" w:space="0" w:color="auto"/>
                    <w:left w:val="none" w:sz="0" w:space="0" w:color="auto"/>
                    <w:bottom w:val="none" w:sz="0" w:space="0" w:color="auto"/>
                    <w:right w:val="none" w:sz="0" w:space="0" w:color="auto"/>
                  </w:divBdr>
                </w:div>
                <w:div w:id="1108231110">
                  <w:marLeft w:val="0"/>
                  <w:marRight w:val="0"/>
                  <w:marTop w:val="0"/>
                  <w:marBottom w:val="0"/>
                  <w:divBdr>
                    <w:top w:val="none" w:sz="0" w:space="0" w:color="auto"/>
                    <w:left w:val="none" w:sz="0" w:space="0" w:color="auto"/>
                    <w:bottom w:val="none" w:sz="0" w:space="0" w:color="auto"/>
                    <w:right w:val="none" w:sz="0" w:space="0" w:color="auto"/>
                  </w:divBdr>
                </w:div>
                <w:div w:id="737939113">
                  <w:marLeft w:val="0"/>
                  <w:marRight w:val="0"/>
                  <w:marTop w:val="0"/>
                  <w:marBottom w:val="0"/>
                  <w:divBdr>
                    <w:top w:val="none" w:sz="0" w:space="0" w:color="auto"/>
                    <w:left w:val="none" w:sz="0" w:space="0" w:color="auto"/>
                    <w:bottom w:val="none" w:sz="0" w:space="0" w:color="auto"/>
                    <w:right w:val="none" w:sz="0" w:space="0" w:color="auto"/>
                  </w:divBdr>
                </w:div>
                <w:div w:id="1917594882">
                  <w:marLeft w:val="0"/>
                  <w:marRight w:val="0"/>
                  <w:marTop w:val="0"/>
                  <w:marBottom w:val="0"/>
                  <w:divBdr>
                    <w:top w:val="none" w:sz="0" w:space="0" w:color="auto"/>
                    <w:left w:val="none" w:sz="0" w:space="0" w:color="auto"/>
                    <w:bottom w:val="none" w:sz="0" w:space="0" w:color="auto"/>
                    <w:right w:val="none" w:sz="0" w:space="0" w:color="auto"/>
                  </w:divBdr>
                </w:div>
                <w:div w:id="8532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1"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889301&amp;action=gkpz_fields&amp;back_url=%2Fmarket%2Fview.html%3Fid%3D889301&amp;gkpz_trade_id=1163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889301&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889301&amp;switch_price_both_view=1" TargetMode="External"/><Relationship Id="rId11" Type="http://schemas.openxmlformats.org/officeDocument/2006/relationships/hyperlink" Target="mailto:tuniekova-oyu%40te.ru" TargetMode="External"/><Relationship Id="rId5" Type="http://schemas.openxmlformats.org/officeDocument/2006/relationships/hyperlink" Target="http://www.b2b-mrsk.ru/market/list.html?all=0&amp;bookmarks=0&amp;cat_id=64530748&amp;type=4" TargetMode="External"/><Relationship Id="rId15" Type="http://schemas.openxmlformats.org/officeDocument/2006/relationships/hyperlink" Target="http://www.b2b-mrsk.ru/market/view.html?id=889301&amp;action=signed_doc&amp;key=auction_docs" TargetMode="External"/><Relationship Id="rId10" Type="http://schemas.openxmlformats.org/officeDocument/2006/relationships/hyperlink" Target="http://www.b2b-mrsk.ru/firms/ao-tiumenenergo/247/"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190142101.zip&amp;title=%D0%97%D0%B0%D0%BA%D1%83%D0%BF%D0%BE%D1%87%D0%BD%D0%B0%D1%8F+%D0%B4%D0%BE%D0%BA%D1%83%D0%BC%D0%B5%D0%BD%D1%82%D0%B0%D1%86%D0%B8%D1%8F.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2017-09-18T03:57:00Z</dcterms:created>
  <dcterms:modified xsi:type="dcterms:W3CDTF">2017-09-18T03:59:00Z</dcterms:modified>
</cp:coreProperties>
</file>