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54E" w:rsidRDefault="00A7154E" w:rsidP="00A7154E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47963 </w:t>
      </w:r>
      <w:r>
        <w:rPr>
          <w:rStyle w:val="bg1"/>
          <w:sz w:val="20"/>
          <w:szCs w:val="20"/>
        </w:rPr>
        <w:t>(вскрытие конвертов 04.02.2016 в 12:00)</w:t>
      </w:r>
    </w:p>
    <w:p w:rsidR="00A7154E" w:rsidRDefault="00A7154E" w:rsidP="00A7154E">
      <w:pPr>
        <w:pStyle w:val="im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Конкурс успешно объявлен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154E" w:rsidTr="00A7154E">
        <w:trPr>
          <w:tblCellSpacing w:w="0" w:type="dxa"/>
        </w:trPr>
        <w:tc>
          <w:tcPr>
            <w:tcW w:w="0" w:type="auto"/>
            <w:hideMark/>
          </w:tcPr>
          <w:p w:rsidR="00A7154E" w:rsidRDefault="00A7154E" w:rsidP="00A715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Извещение</w:t>
            </w:r>
          </w:p>
          <w:p w:rsidR="00A7154E" w:rsidRDefault="00A7154E" w:rsidP="00A7154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val="en-US"/>
                </w:rPr>
                <w:t>0</w:t>
              </w:r>
            </w:hyperlink>
            <w:bookmarkStart w:id="0" w:name="_GoBack"/>
            <w:bookmarkEnd w:id="0"/>
          </w:p>
          <w:p w:rsidR="00A7154E" w:rsidRDefault="00A7154E" w:rsidP="00A7154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Разъяснения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val="en-US"/>
                </w:rPr>
                <w:t>0</w:t>
              </w:r>
            </w:hyperlink>
          </w:p>
          <w:p w:rsidR="00A7154E" w:rsidRDefault="00A7154E" w:rsidP="00A7154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A7154E" w:rsidRDefault="00A7154E" w:rsidP="00A7154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val="en-US"/>
                </w:rPr>
                <w:t>0</w:t>
              </w:r>
            </w:hyperlink>
          </w:p>
          <w:p w:rsidR="00A7154E" w:rsidRDefault="00A7154E" w:rsidP="00A7154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  <w:p w:rsidR="00A7154E" w:rsidRDefault="00A7154E" w:rsidP="00A7154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A7154E" w:rsidRDefault="00A7154E" w:rsidP="00A7154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154E" w:rsidTr="00A7154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715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154E" w:rsidRDefault="00A7154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10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Филиал акционерного общества энергетики и электрификации "Тюменьэнерго" Энергокомплекс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, 628187, Тюменская обл., г. Нягань,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мкр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. Энергетиков, д. 70, 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приглашает принять участие в процедуре (тендере)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</w:t>
                  </w:r>
                </w:p>
              </w:tc>
            </w:tr>
            <w:tr w:rsidR="00A715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4"/>
                    <w:gridCol w:w="6723"/>
                  </w:tblGrid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Открытый одноэтапный конкурс без предварительного отбора на право заключения Договора на капитальный ремонт силовых трансформаторов 1Т, 2Т ПС 110/6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Перегребное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филиала АО «Тюменьэнерго» Энергокомплекс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Лот № 1.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Капитальный ремонт трансформаторов 1Т, 2Т ПС 110/6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Перегребное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филиала АО «Тюменьэнерго» Энергокомплекс (Филиал АО)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3115161 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Трансформаторы силовые V габарита (мощностью до 32000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кВА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включительно, напряжением от 35 до 110 кВ включительно) общего назначения</w:t>
                          </w:r>
                        </w:hyperlink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13.01.2016 15:25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01.07.2016 - 31.08.2016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Тюменская обл., г. Нягань,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70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Тюменская обл., г. Нягань,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д. 70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тел.+7 (34672) 9-32-63, 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комиссия филиала АО "Тюменьэнерго" Энергокомплекс утверждена Приказом АО "Тюменьэнерго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заявки на участия в закупке в размере 2 % начальной цены лота.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предоставляется Участником закупки по его выбор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исполнения договора в размере: 2% или в размере аванса в случае если участником конкурса в заявке выбран способ оплаты по факту выполнения работ с выплатой аванса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должен обладать необходимыми кадровыми ресурсами в количестве не менее 8 человек в составе: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ИТР с группой по ЭБ V – 1 человек;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Электрослесарь 6 разряда, группа по ЭБ не ниже IV – 1 человек;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Электрослесарь не ниже 5 разряда, группа по ЭБ не ниже IV – 1 человек;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Электрослесарь не ниже 4 разряда, группа по ЭБ не ниже III – 2 чел.;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Электрослесарь не ниже 3 разряда, группа по ЭБ не ниже III – 1 чел.;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Водитель крана с группой по ЭБ II – 1 человек;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Водитель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масловоза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с группой по ЭБ II – 1 человек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Участник должен обладать необходимыми основными машинами и механизмами в количестве не менее: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Автомобильный кран – 1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Автомобиль бортовой – 1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Емкость не менее 20 т – 3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Дегазационная каскадная установка для трансформаторного масла производительностью не менее 6 м3/час – 1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Установка сварочная – 1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Передвижной компрессор (0+ 38А подачей 0,5 м3/час с избыточным давлением 0,6 Мпа)6 кгс/см2) – 1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Пульвелизатор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– 1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Лебедки ручные и рычажные – 2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Трансформатор 220/12 В с комплектом переносных ламп – 1 комплект;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Сборка собственных нужд, оборудованная счетчиком электроэнергии и кабелем длиной не менее 50 м – 1 комплект.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а также родственниками работников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с Участником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с АО "Тюменьэнерго"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 w:rsidP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Конкурсная документация.7z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(15.2 МБ)</w:t>
                        </w:r>
                      </w:p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7154E" w:rsidRDefault="00A7154E" w:rsidP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заявки на участие в закупке в размере 2 % начальной цены лота.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Вскрытие конвертов с Конкурсными заявками будет произведено в соответствии с действующими регламентами электронной системы «b2b-mrsk.ru» по адресу: 628187, РФ, Тюменская область, ХМАО-Югра, г. Нягань,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70, кабинет 311/6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Вскрытие конвертов с заявками состоится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04.02.2016 в 12:00 по московскому времени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26.02.2016 15:00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Тюменская обл., г. Нягань,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70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03.03.2016 15:00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Тюменская обл., г. Нягань,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70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Лот № 1. 11 798 183,98 (цена с НДС)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 w:rsidP="00A7154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7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Пройти аккредитацию</w:t>
                          </w:r>
                        </w:hyperlink>
                      </w:p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Россия, Ханты-Мансийский Автономный округ - Югра, город Нягань,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. Энергетиков, 70 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4"/>
                          <w:gridCol w:w="3309"/>
                        </w:tblGrid>
                        <w:tr w:rsidR="00A7154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7154E" w:rsidRDefault="00A7154E" w:rsidP="00A7154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Извещение </w:t>
                              </w:r>
                            </w:p>
                            <w:p w:rsidR="00A7154E" w:rsidRDefault="00A7154E" w:rsidP="00A7154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ux1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Выгружено</w:t>
                              </w:r>
                              <w:r>
                                <w:rPr>
                                  <w:rFonts w:ascii="Arial" w:hAnsi="Arial" w:cs="Arial"/>
                                  <w:color w:val="0066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aux1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13.01.2016 15:25:59 (версия 1)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  <w:p w:rsidR="00A7154E" w:rsidRDefault="00A7154E" w:rsidP="00A7154E">
                              <w:pPr>
                                <w:rPr>
                                  <w:rStyle w:val="imp1"/>
                                  <w:vanish/>
                                </w:rPr>
                              </w:pPr>
                              <w:r>
                                <w:rPr>
                                  <w:rStyle w:val="imp1"/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 xml:space="preserve">[error] </w:t>
                              </w:r>
                              <w:r>
                                <w:rPr>
                                  <w:rStyle w:val="floathint-marker"/>
                                  <w:rFonts w:ascii="Arial" w:hAnsi="Arial" w:cs="Arial"/>
                                  <w:vanish/>
                                  <w:color w:val="FF0000"/>
                                  <w:sz w:val="18"/>
                                  <w:szCs w:val="18"/>
                                </w:rPr>
                                <w:t>Некорректные данные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vanish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0" t="0" r="9525" b="9525"/>
                                    <wp:docPr id="1" name="Рисунок 1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7154E" w:rsidRDefault="00A7154E" w:rsidP="00A7154E">
                              <w:r>
                                <w:rPr>
                                  <w:rFonts w:ascii="Arial" w:hAnsi="Arial" w:cs="Arial"/>
                                  <w:vanish/>
                                  <w:color w:val="FF0000"/>
                                  <w:sz w:val="18"/>
                                  <w:szCs w:val="18"/>
                                </w:rPr>
                                <w:t>Возвращается в случае, если данные в составе XML-документа не проходят логические проверки</w:t>
                              </w:r>
                            </w:p>
                            <w:p w:rsidR="00A7154E" w:rsidRDefault="00A7154E" w:rsidP="00A7154E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br/>
                                <w:t>Реквизиты организации заказчика в загружаемых сведениях отличаются от реквизитов организации в редактируемых сведениях, указанных в БД.</w:t>
                              </w:r>
                            </w:p>
                            <w:p w:rsidR="00A7154E" w:rsidRDefault="00A7154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Номер извещения на ОС:</w:t>
                              </w:r>
                            </w:p>
                            <w:p w:rsidR="00A7154E" w:rsidRDefault="00A7154E" w:rsidP="00A7154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31603201943 </w:t>
                              </w:r>
                            </w:p>
                            <w:p w:rsidR="00A7154E" w:rsidRDefault="00A7154E" w:rsidP="00A7154E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gray-text"/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>Пример: 31300123456</w: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A7154E" w:rsidRDefault="00A7154E" w:rsidP="00A7154E">
                              <w:pPr>
                                <w:pStyle w:val="z-"/>
                              </w:pPr>
                              <w:r>
                                <w:t>Начало формы</w:t>
                              </w:r>
                            </w:p>
                            <w:p w:rsidR="00A7154E" w:rsidRDefault="00A7154E" w:rsidP="00A7154E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0" type="#_x0000_t75" style="width:18.15pt;height:18.15pt" o:ole="">
                                    <v:imagedata r:id="rId19" o:title=""/>
                                  </v:shape>
                                  <w:control r:id="rId20" w:name="Объект 6" w:shapeid="_x0000_i1030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31" type="#_x0000_t75" style="width:18.15pt;height:18.15pt" o:ole="">
                                    <v:imagedata r:id="rId19" o:title=""/>
                                  </v:shape>
                                  <w:control r:id="rId21" w:name="Объект 7" w:shapeid="_x0000_i1031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32" type="#_x0000_t75" style="width:18.15pt;height:18.15pt" o:ole="">
                                    <v:imagedata r:id="rId19" o:title=""/>
                                  </v:shape>
                                  <w:control r:id="rId22" w:name="Объект 8" w:shapeid="_x0000_i1032"/>
                                </w:object>
                              </w:r>
                            </w:p>
                            <w:p w:rsidR="00A7154E" w:rsidRDefault="00A7154E" w:rsidP="00A7154E">
                              <w:pPr>
                                <w:pStyle w:val="z-1"/>
                              </w:pPr>
                              <w:r>
                                <w:t>Конец формы</w:t>
                              </w:r>
                            </w:p>
                            <w:p w:rsidR="00A7154E" w:rsidRDefault="00A7154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7154E" w:rsidRDefault="00A7154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Протоколы</w:t>
                              </w:r>
                            </w:p>
                            <w:p w:rsidR="00A7154E" w:rsidRDefault="00A7154E">
                              <w:pPr>
                                <w:pStyle w:val="gray-text1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7154E" w:rsidRDefault="00A715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7154E" w:rsidRDefault="00A715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59A4" w:rsidRDefault="005259A4"/>
    <w:sectPr w:rsidR="005259A4" w:rsidSect="000F7A84"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ED"/>
    <w:rsid w:val="000F7A84"/>
    <w:rsid w:val="005259A4"/>
    <w:rsid w:val="005D25ED"/>
    <w:rsid w:val="00A7154E"/>
    <w:rsid w:val="00C7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428C4-B2D5-4BA7-9A41-63ACF94C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7A8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A8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F7A8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F7A84"/>
    <w:rPr>
      <w:b/>
      <w:bCs/>
    </w:rPr>
  </w:style>
  <w:style w:type="paragraph" w:styleId="a5">
    <w:name w:val="Normal (Web)"/>
    <w:basedOn w:val="a"/>
    <w:uiPriority w:val="99"/>
    <w:semiHidden/>
    <w:unhideWhenUsed/>
    <w:rsid w:val="000F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0F7A84"/>
    <w:rPr>
      <w:color w:val="A0A0A0"/>
      <w:sz w:val="18"/>
      <w:szCs w:val="18"/>
    </w:rPr>
  </w:style>
  <w:style w:type="character" w:customStyle="1" w:styleId="imp1">
    <w:name w:val="imp1"/>
    <w:basedOn w:val="a0"/>
    <w:rsid w:val="000F7A84"/>
    <w:rPr>
      <w:color w:val="FF0000"/>
    </w:rPr>
  </w:style>
  <w:style w:type="character" w:customStyle="1" w:styleId="btn-txt">
    <w:name w:val="btn-txt"/>
    <w:basedOn w:val="a0"/>
    <w:rsid w:val="000F7A84"/>
  </w:style>
  <w:style w:type="character" w:customStyle="1" w:styleId="userlinkmenu">
    <w:name w:val="userlink_menu"/>
    <w:basedOn w:val="a0"/>
    <w:rsid w:val="000F7A84"/>
  </w:style>
  <w:style w:type="character" w:customStyle="1" w:styleId="floathint-marker">
    <w:name w:val="floathint-marker"/>
    <w:basedOn w:val="a0"/>
    <w:rsid w:val="000F7A84"/>
  </w:style>
  <w:style w:type="character" w:customStyle="1" w:styleId="aux1">
    <w:name w:val="aux1"/>
    <w:basedOn w:val="a0"/>
    <w:rsid w:val="000F7A84"/>
    <w:rPr>
      <w:color w:val="006600"/>
    </w:rPr>
  </w:style>
  <w:style w:type="paragraph" w:customStyle="1" w:styleId="imp">
    <w:name w:val="imp"/>
    <w:basedOn w:val="a"/>
    <w:rsid w:val="00A7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gray-text">
    <w:name w:val="gray-text"/>
    <w:basedOn w:val="a0"/>
    <w:rsid w:val="00A715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15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15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15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154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A7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83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591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160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01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71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04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68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7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719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52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400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7963&amp;show=statistics" TargetMode="External"/><Relationship Id="rId13" Type="http://schemas.openxmlformats.org/officeDocument/2006/relationships/hyperlink" Target="mailto:dryakhlovag@npek.te.ru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edit_tender.html?id=47963&amp;action=send_letters" TargetMode="External"/><Relationship Id="rId12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47963" TargetMode="External"/><Relationship Id="rId17" Type="http://schemas.openxmlformats.org/officeDocument/2006/relationships/hyperlink" Target="https://www.b2b-center.ru/personal/payment_docs.html?type=guarantee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7963&amp;action=signed_doc&amp;key=docs" TargetMode="External"/><Relationship Id="rId20" Type="http://schemas.openxmlformats.org/officeDocument/2006/relationships/control" Target="activeX/activeX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963&amp;action=invitations" TargetMode="External"/><Relationship Id="rId11" Type="http://schemas.openxmlformats.org/officeDocument/2006/relationships/hyperlink" Target="http://www.b2b-mrsk.ru/market/list_tenders.html?open=1&amp;all=0&amp;cat_id=4311516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47963&amp;action=explanation" TargetMode="External"/><Relationship Id="rId15" Type="http://schemas.openxmlformats.org/officeDocument/2006/relationships/hyperlink" Target="http://www.b2b-mrsk.ru/market/edit_tender.html?id=47963&amp;action=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filial-aktsionernogo-obshchestva-energetiki-i-elektrifikatsii-tiumenenergo-energokompleks/102374/" TargetMode="External"/><Relationship Id="rId19" Type="http://schemas.openxmlformats.org/officeDocument/2006/relationships/image" Target="media/image2.wmf"/><Relationship Id="rId4" Type="http://schemas.openxmlformats.org/officeDocument/2006/relationships/hyperlink" Target="http://www.b2b-mrsk.ru/market/view_tender.html?id=47963&amp;show=lots" TargetMode="External"/><Relationship Id="rId9" Type="http://schemas.openxmlformats.org/officeDocument/2006/relationships/hyperlink" Target="http://www.b2b-mrsk.ru/market/view_tender.html?id=47963&amp;show=changes" TargetMode="External"/><Relationship Id="rId14" Type="http://schemas.openxmlformats.org/officeDocument/2006/relationships/hyperlink" Target="http://www.b2b-mrsk.ru/download.html?file=file%2F39012845.7z&amp;title=%D0%9A%D0%BE%D0%BD%D0%BA%D1%83%D1%80%D1%81%D0%BD%D0%B0%D1%8F+%D0%B4%D0%BE%D0%BA%D1%83%D0%BC%D0%B5%D0%BD%D1%82%D0%B0%D1%86%D0%B8%D1%8F.7z" TargetMode="External"/><Relationship Id="rId22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2539</Words>
  <Characters>14473</Characters>
  <Application>Microsoft Office Word</Application>
  <DocSecurity>0</DocSecurity>
  <Lines>120</Lines>
  <Paragraphs>33</Paragraphs>
  <ScaleCrop>false</ScaleCrop>
  <Company>Hewlett-Packard Company</Company>
  <LinksUpToDate>false</LinksUpToDate>
  <CharactersWithSpaces>16979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3</cp:revision>
  <dcterms:created xsi:type="dcterms:W3CDTF">2016-01-14T03:51:00Z</dcterms:created>
  <dcterms:modified xsi:type="dcterms:W3CDTF">2016-01-14T11:03:00Z</dcterms:modified>
</cp:coreProperties>
</file>