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7" w:type="dxa"/>
        <w:tblCellMar>
          <w:left w:w="0" w:type="dxa"/>
          <w:right w:w="0" w:type="dxa"/>
        </w:tblCellMar>
        <w:tblLook w:val="04A0" w:firstRow="1" w:lastRow="0" w:firstColumn="1" w:lastColumn="0" w:noHBand="0" w:noVBand="1"/>
      </w:tblPr>
      <w:tblGrid>
        <w:gridCol w:w="9355"/>
      </w:tblGrid>
      <w:tr w:rsidR="00C038DE" w:rsidTr="00C038DE">
        <w:trPr>
          <w:tblCellSpacing w:w="7"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453"/>
              <w:gridCol w:w="1874"/>
            </w:tblGrid>
            <w:tr w:rsidR="00C038DE">
              <w:trPr>
                <w:tblCellSpacing w:w="0" w:type="dxa"/>
              </w:trPr>
              <w:tc>
                <w:tcPr>
                  <w:tcW w:w="4950" w:type="pct"/>
                  <w:vAlign w:val="center"/>
                  <w:hideMark/>
                </w:tcPr>
                <w:p w:rsidR="00C038DE" w:rsidRDefault="00C038DE">
                  <w:bookmarkStart w:id="0" w:name="expl_393386"/>
                  <w:bookmarkEnd w:id="0"/>
                  <w:r>
                    <w:rPr>
                      <w:b/>
                      <w:bCs/>
                    </w:rPr>
                    <w:t>Вопрос:</w:t>
                  </w:r>
                  <w:r>
                    <w:t xml:space="preserve">  [</w:t>
                  </w:r>
                  <w:hyperlink r:id="rId5" w:history="1">
                    <w:r>
                      <w:rPr>
                        <w:rStyle w:val="a4"/>
                      </w:rPr>
                      <w:t>Исправить ответ</w:t>
                    </w:r>
                  </w:hyperlink>
                  <w:r>
                    <w:t xml:space="preserve">] </w:t>
                  </w:r>
                </w:p>
              </w:tc>
              <w:tc>
                <w:tcPr>
                  <w:tcW w:w="0" w:type="auto"/>
                  <w:noWrap/>
                  <w:vAlign w:val="center"/>
                  <w:hideMark/>
                </w:tcPr>
                <w:p w:rsidR="00C038DE" w:rsidRDefault="00C038DE">
                  <w:pPr>
                    <w:jc w:val="right"/>
                  </w:pPr>
                  <w:bookmarkStart w:id="1" w:name="_GoBack"/>
                  <w:bookmarkEnd w:id="1"/>
                  <w:r>
                    <w:t xml:space="preserve">)  22.11.2018 17:22 </w:t>
                  </w:r>
                </w:p>
              </w:tc>
            </w:tr>
            <w:tr w:rsidR="00C038DE">
              <w:trPr>
                <w:tblCellSpacing w:w="0" w:type="dxa"/>
              </w:trPr>
              <w:tc>
                <w:tcPr>
                  <w:tcW w:w="0" w:type="auto"/>
                  <w:gridSpan w:val="2"/>
                  <w:vAlign w:val="center"/>
                  <w:hideMark/>
                </w:tcPr>
                <w:p w:rsidR="00C038DE" w:rsidRDefault="00C038DE" w:rsidP="00C038DE">
                  <w:pPr>
                    <w:shd w:val="clear" w:color="auto" w:fill="FFFDE4"/>
                  </w:pPr>
                  <w:r>
                    <w:rPr>
                      <w:rStyle w:val="aux"/>
                    </w:rPr>
                    <w:t>Выгружено</w:t>
                  </w:r>
                  <w:r>
                    <w:br/>
                    <w:t>27.11.2018 16:33</w:t>
                  </w:r>
                  <w:r>
                    <w:br/>
                    <w:t>[</w:t>
                  </w:r>
                  <w:hyperlink r:id="rId6" w:history="1">
                    <w:r>
                      <w:rPr>
                        <w:rStyle w:val="a4"/>
                      </w:rPr>
                      <w:t>Выгрузить</w:t>
                    </w:r>
                  </w:hyperlink>
                  <w:r>
                    <w:t>]</w:t>
                  </w:r>
                </w:p>
                <w:p w:rsidR="00C038DE" w:rsidRDefault="00C038DE">
                  <w:r>
                    <w:t>ЗАПРОС Часть 2</w:t>
                  </w:r>
                  <w:r>
                    <w:br/>
                    <w:t>(3) В соответствии с п.9 ч.10 ст.4 ФЗ-223 в документации о закупке должны быть указаны сведения, определенные положением о закупке, в том числе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r>
                    <w:br/>
                    <w:t>Требования к участникам закупки должны устанавливаться без противоречий действующему законодательству.</w:t>
                  </w:r>
                  <w:r>
                    <w:br/>
                    <w:t>В соответствии с ч.1 ст. 55.8 Градостроительного кодекса РФ (в действующей с 01.07.2017 г. редакции):</w:t>
                  </w:r>
                  <w:r>
                    <w:br/>
                    <w:t>«Индивидуальный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r>
                    <w:br/>
                    <w:t>Объектом настоящей закупки является выполнение работ по комплексному обследованию и техническому освидетельствованию зданий и сооружений.</w:t>
                  </w:r>
                  <w:r>
                    <w:br/>
                    <w:t>По мнению Министерства строительства и жилищно – коммунального хозяйства РФ (письмо №38887-ЛС/02 от 20.09.2018г.), работы по обследованию состояния грунтов оснований зданий и сооружений, их строительных конструкций являются специальным видом инженерных изысканий.</w:t>
                  </w:r>
                  <w:r>
                    <w:br/>
                    <w:t>В соответствии с Федеральным законом от 03.07.2016 N 372-ФЗ «О внесении изменений в Градостроительный кодекс Российской Федерации и отдельные законодательные акты Российской Федерации», с 1 июля 2017 года для подтверждения членства в СРО в настоящее время предусмотрены выписки из реестра СРО.</w:t>
                  </w:r>
                  <w:r>
                    <w:br/>
                    <w:t xml:space="preserve">Кроме того, согласно ч.6 ст. 55.8 Градостроительного кодекса РФ член саморегулируемой организации, не уплативший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w:t>
                  </w:r>
                  <w:r>
                    <w:br/>
                    <w:t xml:space="preserve">Согласно ч.5 ст. 55.17 Градостроительного кодекса РФ форма выписки установлена Приказом Ростехнадзора от 16.02.2017 N 58 "Об утверждении формы выписки из реестра членов саморегулируемой организации". В соответствии с данной формой, одними из сведений, указываемых в выписке, являются: </w:t>
                  </w:r>
                  <w:r>
                    <w:br/>
                    <w:t xml:space="preserve">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w:t>
                  </w:r>
                  <w:r>
                    <w:lastRenderedPageBreak/>
                    <w:t xml:space="preserve">внесен взнос в компенсационный фонд обеспечения договорных обязательств. </w:t>
                  </w:r>
                  <w:r>
                    <w:br/>
                    <w:t>Таким образом, в положениях настоящей документации должно быть установлено требование о предоставлении выписки из реестра членов в саморегулируемой организации в области инженерных изысканий по форме, установленной Приказом Ростехнадзора от 16.02.2017 N 58 "Об утверждении формы выписки из реестра членов саморегулируемой организации", а также требование о наличии у участника закупки права выполнять работы по договору подряда, заключаемого с использованием конкурентных способов заключения договоров.</w:t>
                  </w:r>
                  <w:r>
                    <w:br/>
                    <w:t>(4) В соответствии с п. 34.3 Документации по проведению открытого одноэтапного конкурса в составе своей заявки Участник закупки должен предоставить Документы, подтверждающие основные материально-технические ресурсы для выполнения работ, а именно скан копии действующих свидетельств о поверке приборов, инструментов, аппаратуры и прочего оборудования, предложенных участником для выполнения работ.</w:t>
                  </w:r>
                  <w:r>
                    <w:br/>
                    <w:t>Исчерпывающий перечень оборудования представлен в п. 33.12 Документации по проведению открытого одноэтапного конкурса.</w:t>
                  </w:r>
                  <w:r>
                    <w:br/>
                    <w:t>Одними из необходимых для предоставления в составе заявки являются следующие приборы:</w:t>
                  </w:r>
                  <w:r>
                    <w:br/>
                    <w:t>1. для измерения воздухопроницаемости ограждающих конструкций и стыковых соединений;</w:t>
                  </w:r>
                  <w:r>
                    <w:br/>
                    <w:t>2. для измерения тепловых потоков через ограждающие конструкции.</w:t>
                  </w:r>
                  <w:r>
                    <w:br/>
                    <w:t>Из положений Технического задания не следует, что при проведении Подрядчиком обследования необходимо выполнить работы по измерению воздухопроницаемости ограждающих конструкций и стыковых соединений, а также работы по измерению тепловых потоков через ограждающие конструкции.</w:t>
                  </w:r>
                  <w:r>
                    <w:br/>
                    <w:t>В связи с вышеизложенным, считаем наличие данных видов оборудования необоснованным и избыточным для целей данной закупки.</w:t>
                  </w:r>
                  <w:r>
                    <w:br/>
                  </w:r>
                  <w:r>
                    <w:br/>
                  </w:r>
                  <w:r>
                    <w:br/>
                  </w:r>
                  <w:r>
                    <w:br/>
                    <w:t>На основании вышеизложенного, просим предоставить ответы на следующие вопросы:</w:t>
                  </w:r>
                  <w:r>
                    <w:br/>
                    <w:t>1. Была ли допущена техническая ошибка в пп.33.11 Документации по проведению открытого одноэтапного конкурса?</w:t>
                  </w:r>
                  <w:r>
                    <w:br/>
                    <w:t>2. В случае положительного ответа на первый вопрос, просим разъяснить будут ли внесены соответствующие изменения в Документацию по проведению открытого одноэтапного конкурса?</w:t>
                  </w:r>
                  <w:r>
                    <w:br/>
                    <w:t>3. В случае отрицательного ответа на первый вопрос просим разъяснить, в соответствии с какими законами и нормативно – правовыми актами для проведения работ по обследованию необходимо иметь Специалистов в области неразрушающего контроля I, II уровня, аттестованный согласно правил аттестации персонала в области неразрушающего контроля, вид контроля: ВИК; объекты контроля: 11- здания и сооружения (строительные объекты) - не менее 7 человек?</w:t>
                  </w:r>
                  <w:r>
                    <w:br/>
                    <w:t>4. Просим разъяснить, в связи с чем для производства работ по комплексному обследованию и техническому освидетельствованию зданий и сооружений филиалов АО «Тюменьэнерго» необходимо не менее 7 специалистов?</w:t>
                  </w:r>
                  <w:r>
                    <w:br/>
                    <w:t>5. Просим разъяснить, каким образом рассчитывалось минимальное количество специалистов для выполнения работ по комплексному обследованию и техническому освидетельствованию зданий и сооружений филиалов АО «Тюменьэнерго»?</w:t>
                  </w:r>
                  <w:r>
                    <w:br/>
                    <w:t>6. Относятся ли объекты обследования к опасным производственным объектам?</w:t>
                  </w:r>
                  <w:r>
                    <w:br/>
                    <w:t>7. Просим предоставить регистрационные номера Ростехнадзора на каждый объект из Технического задания.</w:t>
                  </w:r>
                  <w:r>
                    <w:br/>
                    <w:t>8. Была ли допущена техническая ошибка в пп.34.6.3 Документации по проведению открытого одноэтапного конкурса?</w:t>
                  </w:r>
                  <w:r>
                    <w:br/>
                  </w:r>
                  <w:r>
                    <w:lastRenderedPageBreak/>
                    <w:t>9. В случае положительного ответа на восьмой вопрос просим разъяснить, будут ли внесены соответствующие изменения в Документацию по проведению открытого одноэтапного конкурса?</w:t>
                  </w:r>
                  <w:r>
                    <w:br/>
                    <w:t>10. В случае отрицательного ответа на восьмой вопрос просим разъяснить в соответствии с какими законами и нормативно – правовыми актами для производства работ по обследованию необходимо иметь референцию банка?</w:t>
                  </w:r>
                  <w:r>
                    <w:br/>
                    <w:t>11. Каким образом наличие референции банка может повлиять на качество выполняемых работ?</w:t>
                  </w:r>
                  <w:r>
                    <w:br/>
                    <w:t>12. Была ли допущена техническая ошибка при формировании Документации, в части неустановления требования о предоставлении в составе заявки выписки СРО?</w:t>
                  </w:r>
                  <w:r>
                    <w:br/>
                    <w:t>13. В случае положительного ответа на двенадцатый вопрос просим разъяснить, членом каких именно СРО должен быть участник закупки?</w:t>
                  </w:r>
                  <w:r>
                    <w:br/>
                    <w:t>14. В случае отрицательного ответа на двенадцатый вопрос просим разъяснить, в соответствии с какими законами и нормативно – правовыми актами для выполнения работ по обследованию не требуется членство в СРО?</w:t>
                  </w:r>
                  <w:r>
                    <w:br/>
                    <w:t>15. Во исполнение каких видов работ, предусмотренных Техническим заданием необходимо иметь оборудование для измерения воздухопроницаемости ограждающих конструкций и стыковых соединений, для измерения тепловых потоков через ограждающие конструкции?</w:t>
                  </w:r>
                  <w:r>
                    <w:br/>
                    <w:t>16. Может ли быть данное оборудование не в собственности участника закупки, а в аренде?</w:t>
                  </w:r>
                  <w:r>
                    <w:br/>
                    <w:t>17. Будут ли отклонены заявки участников, не имеющих 7 аттестованных специалистов в области неразрушающего контроля?</w:t>
                  </w:r>
                  <w:r>
                    <w:br/>
                    <w:t>18. Будут ли отклонены заявки участников, в составе которых будет отсутствовать референция банка?</w:t>
                  </w:r>
                  <w:r>
                    <w:br/>
                    <w:t>19. Будут ли отклонены заявки участников, в составе которых будут отсутствовать скан копии действующих свидетельств о поверке приборов для измерения воздухопроницаемости ограждающих конструкций и стыковых соединений; а также приборов для измерения тепловых потоков через ограждающие конструкции?</w:t>
                  </w:r>
                  <w:r>
                    <w:br/>
                  </w:r>
                  <w:r>
                    <w:br/>
                    <w:t>Просим Вас по каждому из поставленных вопросов дать полные и аргументированные ответы, исключающие двусмысленное толкование</w:t>
                  </w:r>
                </w:p>
              </w:tc>
            </w:tr>
            <w:tr w:rsidR="00C038DE">
              <w:trPr>
                <w:tblCellSpacing w:w="0" w:type="dxa"/>
              </w:trPr>
              <w:tc>
                <w:tcPr>
                  <w:tcW w:w="0" w:type="auto"/>
                  <w:vAlign w:val="center"/>
                  <w:hideMark/>
                </w:tcPr>
                <w:p w:rsidR="00C038DE" w:rsidRDefault="00C038DE">
                  <w:hyperlink r:id="rId7" w:history="1">
                    <w:r>
                      <w:rPr>
                        <w:rStyle w:val="a4"/>
                        <w:b/>
                        <w:bCs/>
                      </w:rPr>
                      <w:t>Прочитать ответ:</w:t>
                    </w:r>
                  </w:hyperlink>
                </w:p>
              </w:tc>
              <w:tc>
                <w:tcPr>
                  <w:tcW w:w="0" w:type="auto"/>
                  <w:vAlign w:val="center"/>
                  <w:hideMark/>
                </w:tcPr>
                <w:p w:rsidR="00C038DE" w:rsidRDefault="00C038DE"/>
              </w:tc>
            </w:tr>
            <w:tr w:rsidR="00C038DE">
              <w:trPr>
                <w:tblCellSpacing w:w="0" w:type="dxa"/>
              </w:trPr>
              <w:tc>
                <w:tcPr>
                  <w:tcW w:w="0" w:type="auto"/>
                  <w:gridSpan w:val="2"/>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369"/>
                    <w:gridCol w:w="1808"/>
                  </w:tblGrid>
                  <w:tr w:rsidR="00C038DE">
                    <w:trPr>
                      <w:tblCellSpacing w:w="0" w:type="dxa"/>
                    </w:trPr>
                    <w:tc>
                      <w:tcPr>
                        <w:tcW w:w="0" w:type="auto"/>
                        <w:vAlign w:val="center"/>
                        <w:hideMark/>
                      </w:tcPr>
                      <w:p w:rsidR="00C038DE" w:rsidRDefault="00C038DE">
                        <w:pPr>
                          <w:spacing w:after="240"/>
                          <w:rPr>
                            <w:sz w:val="24"/>
                            <w:szCs w:val="24"/>
                          </w:rPr>
                        </w:pPr>
                        <w:r>
                          <w:t>Вопрос 1. Была ли допущена техническая ошибка в пп.33.11 Документации по проведению открытого одноэтапного конкурса?</w:t>
                        </w:r>
                        <w:r>
                          <w:br/>
                          <w:t>Ответ: Нет.</w:t>
                        </w:r>
                        <w:r>
                          <w:br/>
                        </w:r>
                        <w:r>
                          <w:br/>
                          <w:t>Вопрос 2. В случае положительного ответа на первый вопрос, просим разъяснить будут ли внесены соответствующие изменения в Документацию по проведению открытого одноэтапного конкурса?</w:t>
                        </w:r>
                        <w:r>
                          <w:br/>
                          <w:t>Ответ: Изменения в КД вноситься не будут.</w:t>
                        </w:r>
                        <w:r>
                          <w:br/>
                        </w:r>
                        <w:r>
                          <w:br/>
                          <w:t xml:space="preserve">Вопрос 3. В случае отрицательного ответа на первый вопрос просим разъяснить, в соответствии с какими законами и нормативно – правовыми актами для проведения работ по обследованию необходимо иметь Специалистов в области неразрушающего контроля I, II уровня, аттестованный согласно правил аттестации персонала в области неразрушающего контроля, вид контроля: ВИК; объекты контроля: 11- </w:t>
                        </w:r>
                        <w:r>
                          <w:lastRenderedPageBreak/>
                          <w:t>здания и сооружения (строительные объекты) - не менее 7 человек?</w:t>
                        </w:r>
                        <w:r>
                          <w:br/>
                          <w:t>Ответ: Действующим законодательством РФ не запрещается привлечение к выполнению работ специалистов, аттестованных в области неразрушающего контроля на объектах капитального строительства, не относящихся к опасным производственным объектам.</w:t>
                        </w:r>
                        <w:r>
                          <w:br/>
                        </w:r>
                        <w:r>
                          <w:br/>
                          <w:t>Вопрос 4. Просим разъяснить, в связи с чем для производства работ по комплексному обследованию и техническому освидетельствованию зданий и сооружений филиалов АО «Тюменьэнерго» необходимо не менее 7 специалистов?</w:t>
                        </w:r>
                        <w:r>
                          <w:br/>
                          <w:t>Ответ: Исходя из условий Приложения № 1 к КД (Техническое задание), комплексное обследование и техническое освидетельствование необходимо произвести на 145 подстанциях, включающих в себя в среднем по 10-14 объектов, в т.ч. здания с кирпичным и ж/б конструктивом, а также на 99 объектах, не находящихся на территории подстанций, это: многоэтажные АБК, котельные, склады, ТП, КТП, гаражи и т.п. Необходимо отметить, что все вышеуказанные объекты территориально находятся в разных частях Тюменской области. Также необходимо учитывать, что срок проведения работ на объектах ограничен: 01.05.2019-31.08.2019 (4 календарных месяца, 82 рабочих дня).</w:t>
                        </w:r>
                        <w:r>
                          <w:br/>
                        </w:r>
                        <w:r>
                          <w:br/>
                          <w:t>Вопрос 5. Просим разъяснить, каким образом рассчитывалось минимальное количество специалистов для выполнения работ по комплексному обследованию и техническому освидетельствованию зданий и сооружений филиалов АО «Тюменьэнерго»?</w:t>
                        </w:r>
                        <w:r>
                          <w:br/>
                          <w:t xml:space="preserve">Ответ: Количество специалистов рассчитывалось исходя среднего количества времени, необходимого для выполнения работ на каждом из объектов (3 рабочих дня), а также из количества объектов. </w:t>
                        </w:r>
                        <w:r>
                          <w:br/>
                        </w:r>
                        <w:r>
                          <w:br/>
                          <w:t>Вопрос 6. Относятся ли объекты обследования к опасным производственным объектам?</w:t>
                        </w:r>
                        <w:r>
                          <w:br/>
                          <w:t>Ответ: Нет.</w:t>
                        </w:r>
                        <w:r>
                          <w:br/>
                        </w:r>
                        <w:r>
                          <w:br/>
                          <w:t>Вопрос 7. Просим предоставить регистрационные номера Ростехнадзора на каждый объект из Технического задания.</w:t>
                        </w:r>
                        <w:r>
                          <w:br/>
                          <w:t>Ответ: Объекты обследования не относятся к опасным производственным объектам.</w:t>
                        </w:r>
                        <w:r>
                          <w:br/>
                        </w:r>
                        <w:r>
                          <w:br/>
                          <w:t>Вопрос 8. Была ли допущена техническая ошибка в пп.34.6.3 Документации по проведению открытого одноэтапного конкурса?</w:t>
                        </w:r>
                        <w:r>
                          <w:br/>
                          <w:t>Ответ: Нет.</w:t>
                        </w:r>
                        <w:r>
                          <w:br/>
                        </w:r>
                        <w:r>
                          <w:br/>
                          <w:t>Вопрос 9. В случае положительного ответа на восьмой вопрос просим разъяснить, будут ли внесены соответствующие изменения в Документацию по проведению открытого одноэтапного конкурса?</w:t>
                        </w:r>
                        <w:r>
                          <w:br/>
                          <w:t>Ответ: Изменения в КД вноситься не будут.</w:t>
                        </w:r>
                        <w:r>
                          <w:br/>
                        </w:r>
                        <w:r>
                          <w:br/>
                          <w:t xml:space="preserve">Вопрос 10. В случае отрицательного ответа на восьмой вопрос просим разъяснить в соответствии с какими законами и нормативно - правовыми </w:t>
                        </w:r>
                        <w:r>
                          <w:lastRenderedPageBreak/>
                          <w:t>актами для производства работ по обследованию необходимо иметь референцию банка?</w:t>
                        </w:r>
                        <w:r>
                          <w:br/>
                          <w:t xml:space="preserve">Ответ: Действующим законодательством РФ не запрещается установление требований для участников закупочных процедур, в том числе требований о предоставлении участниками документов, подтверждающих благонадежность участников. </w:t>
                        </w:r>
                        <w:r>
                          <w:br/>
                        </w:r>
                        <w:r>
                          <w:br/>
                          <w:t>Вопрос 11. Каким образом наличие референции банка может повлиять на качество выполняемых работ?</w:t>
                        </w:r>
                        <w:r>
                          <w:br/>
                          <w:t>Ответ: Наличие референции не влияет на качество выполняемых работ.</w:t>
                        </w:r>
                        <w:r>
                          <w:br/>
                        </w:r>
                        <w:r>
                          <w:br/>
                          <w:t>Вопрос 12. Была ли допущена техническая ошибка при формировании Документации, в части неустановления требования о предоставлении в составе заявки выписки СРО?</w:t>
                        </w:r>
                        <w:r>
                          <w:br/>
                          <w:t>Ответ: Да.</w:t>
                        </w:r>
                        <w:r>
                          <w:br/>
                        </w:r>
                        <w:r>
                          <w:br/>
                          <w:t>Вопрос 13. В случае положительного ответа на двенадцатый вопрос просим разъяснить, членом каких именно СРО должен быть участник закупки?</w:t>
                        </w:r>
                        <w:r>
                          <w:br/>
                          <w:t>Ответ: В соответствии с ч. 2 ст. 47 Градостроительного кодекса РФ,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w:t>
                        </w:r>
                        <w:r>
                          <w:br/>
                          <w:t>Участником должна быть предоставлена действующая на дату подачи Участником заявки Выписка из реестра членов саморегулируемой организации СРО, подтверждающая право выполнять работу по предмету закупки по форме, утвержденной приказом Ростехнадзора от 16.02.2017г. № 58 «Об утверждении формы выписки из реестра членов саморегулируемой организации» (сканкопия).</w:t>
                        </w:r>
                        <w:r>
                          <w:br/>
                        </w:r>
                        <w:r>
                          <w:br/>
                          <w:t>Вопрос 14. В случае отрицательного ответа на двенадцатый вопрос просим разъяснить, в соответствии с какими законами и нормативно – правовыми актами для выполнения работ по обследованию не требуется членство в СРО?</w:t>
                        </w:r>
                        <w:r>
                          <w:br/>
                          <w:t>Ответ: Требуется членство в СРО.</w:t>
                        </w:r>
                        <w:r>
                          <w:br/>
                        </w:r>
                        <w:r>
                          <w:br/>
                          <w:t>Вопрос 15. Во исполнение каких видов работ, предусмотренных Техническим заданием необходимо иметь оборудование для измерения воздухопроницаемости ограждающих конструкций и стыковых соединений, для измерения тепловых потоков через ограждающие конструкции?</w:t>
                        </w:r>
                        <w:r>
                          <w:br/>
                          <w:t xml:space="preserve">Ответ: Для определения действительного технического состояния ограждающих конструкций зданий. В п. п. 5.1.1. и 5.2.1. Технического задания указаны нормативные документы, в соответствии с которыми </w:t>
                        </w:r>
                        <w:r>
                          <w:lastRenderedPageBreak/>
                          <w:t xml:space="preserve">необходимо проводить комплексное обследование и техническое освидетельствование зданий и сооружений: СП 13-102-2003 и ГОСТ 31937- 2011. Виды работ, для выполнения которых необходимо иметь приборы, указаны в п.п. 5.3.1.- 5.3.4, 5.7. ГОСТ 31937- 2011. </w:t>
                        </w:r>
                        <w:r>
                          <w:br/>
                        </w:r>
                        <w:r>
                          <w:br/>
                          <w:t>Вопрос 16. Может ли быть данное оборудование не в собственности участника закупки, а в аренде?</w:t>
                        </w:r>
                        <w:r>
                          <w:br/>
                          <w:t xml:space="preserve">Ответ: Может. </w:t>
                        </w:r>
                        <w:r>
                          <w:br/>
                        </w:r>
                        <w:r>
                          <w:br/>
                          <w:t>Вопрос 17. Будут ли отклонены заявки участников, не имеющих 7 аттестованных специалистов в области неразрушающего контроля?</w:t>
                        </w:r>
                        <w:r>
                          <w:br/>
                          <w:t>Ответ: При непредставлении документа или информации в соответствии с требованиями Информационной карты, Конкурсная комиссия вправе отклонить Конкурсную заявку Участника.</w:t>
                        </w:r>
                        <w:r>
                          <w:br/>
                        </w:r>
                        <w:r>
                          <w:br/>
                          <w:t>Вопрос 18. Будут ли отклонены заявки участников, в составе которых будет отсутствовать референция банка?</w:t>
                        </w:r>
                        <w:r>
                          <w:br/>
                          <w:t>Ответ: При непредставлении документа или информации в соответствии с требованиями Информационной карты, Конкурсная комиссия вправе отклонить Конкурсную заявку Участника.</w:t>
                        </w:r>
                        <w:r>
                          <w:br/>
                        </w:r>
                        <w:r>
                          <w:br/>
                          <w:t>Вопрос 19. Будут ли отклонены заявки участников, в составе которых будут отсутствовать скан копии действующих свидетельств о поверке приборов для измерения воздухопроницаемости ограждающих конструкций и стыковых соединений; а также приборов для измерения тепловых потоков через ограждающие конструкции?</w:t>
                        </w:r>
                        <w:r>
                          <w:br/>
                          <w:t>Ответ: При непредставлении документа или информации в соответствии с требованиями Информационной карты, Конкурсная комиссия вправе отклонить Конкурсную заявку Участника.</w:t>
                        </w:r>
                      </w:p>
                    </w:tc>
                    <w:tc>
                      <w:tcPr>
                        <w:tcW w:w="0" w:type="auto"/>
                        <w:noWrap/>
                        <w:vAlign w:val="center"/>
                        <w:hideMark/>
                      </w:tcPr>
                      <w:p w:rsidR="00C038DE" w:rsidRDefault="00C038DE">
                        <w:pPr>
                          <w:spacing w:after="0"/>
                          <w:jc w:val="right"/>
                        </w:pPr>
                        <w:r>
                          <w:lastRenderedPageBreak/>
                          <w:t>  27.11.2018 16:23</w:t>
                        </w:r>
                      </w:p>
                    </w:tc>
                  </w:tr>
                </w:tbl>
                <w:p w:rsidR="00C038DE" w:rsidRDefault="00C038DE"/>
              </w:tc>
            </w:tr>
          </w:tbl>
          <w:p w:rsidR="00C038DE" w:rsidRDefault="00C038DE">
            <w:pPr>
              <w:rPr>
                <w:sz w:val="24"/>
                <w:szCs w:val="24"/>
              </w:rPr>
            </w:pPr>
          </w:p>
        </w:tc>
      </w:tr>
      <w:tr w:rsidR="00C038DE" w:rsidTr="00C038DE">
        <w:trPr>
          <w:tblCellSpacing w:w="7"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453"/>
              <w:gridCol w:w="1874"/>
            </w:tblGrid>
            <w:tr w:rsidR="00C038DE">
              <w:trPr>
                <w:tblCellSpacing w:w="0" w:type="dxa"/>
              </w:trPr>
              <w:tc>
                <w:tcPr>
                  <w:tcW w:w="4950" w:type="pct"/>
                  <w:vAlign w:val="center"/>
                  <w:hideMark/>
                </w:tcPr>
                <w:p w:rsidR="00C038DE" w:rsidRDefault="00C038DE">
                  <w:pPr>
                    <w:rPr>
                      <w:sz w:val="24"/>
                      <w:szCs w:val="24"/>
                    </w:rPr>
                  </w:pPr>
                  <w:bookmarkStart w:id="2" w:name="expl_393384"/>
                  <w:bookmarkEnd w:id="2"/>
                  <w:r>
                    <w:rPr>
                      <w:b/>
                      <w:bCs/>
                    </w:rPr>
                    <w:lastRenderedPageBreak/>
                    <w:t>Вопрос:</w:t>
                  </w:r>
                  <w:r>
                    <w:t xml:space="preserve">  [</w:t>
                  </w:r>
                  <w:hyperlink r:id="rId8" w:history="1">
                    <w:r>
                      <w:rPr>
                        <w:rStyle w:val="a4"/>
                      </w:rPr>
                      <w:t>Исправить ответ</w:t>
                    </w:r>
                  </w:hyperlink>
                  <w:r>
                    <w:t xml:space="preserve">] </w:t>
                  </w:r>
                </w:p>
              </w:tc>
              <w:tc>
                <w:tcPr>
                  <w:tcW w:w="0" w:type="auto"/>
                  <w:noWrap/>
                  <w:vAlign w:val="center"/>
                  <w:hideMark/>
                </w:tcPr>
                <w:p w:rsidR="00C038DE" w:rsidRDefault="00C038DE">
                  <w:pPr>
                    <w:jc w:val="right"/>
                  </w:pPr>
                  <w:r>
                    <w:t xml:space="preserve">)  22.11.2018 17:21 </w:t>
                  </w:r>
                </w:p>
              </w:tc>
            </w:tr>
            <w:tr w:rsidR="00C038DE">
              <w:trPr>
                <w:tblCellSpacing w:w="0" w:type="dxa"/>
              </w:trPr>
              <w:tc>
                <w:tcPr>
                  <w:tcW w:w="0" w:type="auto"/>
                  <w:gridSpan w:val="2"/>
                  <w:vAlign w:val="center"/>
                  <w:hideMark/>
                </w:tcPr>
                <w:p w:rsidR="00C038DE" w:rsidRDefault="00C038DE" w:rsidP="00C038DE">
                  <w:pPr>
                    <w:shd w:val="clear" w:color="auto" w:fill="FFFDE4"/>
                  </w:pPr>
                  <w:r>
                    <w:rPr>
                      <w:rStyle w:val="aux"/>
                    </w:rPr>
                    <w:t>Выгружено</w:t>
                  </w:r>
                  <w:r>
                    <w:br/>
                    <w:t>27.11.2018 16:33</w:t>
                  </w:r>
                  <w:r>
                    <w:br/>
                    <w:t>[</w:t>
                  </w:r>
                  <w:hyperlink r:id="rId9" w:history="1">
                    <w:r>
                      <w:rPr>
                        <w:rStyle w:val="a4"/>
                      </w:rPr>
                      <w:t>Выгрузить</w:t>
                    </w:r>
                  </w:hyperlink>
                  <w:r>
                    <w:t>]</w:t>
                  </w:r>
                </w:p>
                <w:p w:rsidR="00C038DE" w:rsidRDefault="00C038DE">
                  <w:r>
                    <w:t xml:space="preserve">ЗАПРОС ЧАСТЬ 1 </w:t>
                  </w:r>
                  <w:r>
                    <w:br/>
                  </w:r>
                  <w:r>
                    <w:br/>
                    <w:t>При ознакомлении с документацией по открытому одноэтапному конкурсу без предварительного отбора, у организации возник ряд вопросов, выразившихся в следующем:</w:t>
                  </w:r>
                  <w:r>
                    <w:br/>
                    <w:t>(1) Согласно п. 33 Документации по проведению открытого одноэтапного конкурса установлены обязательные требования к Участникам закупки (отборочные критерии).</w:t>
                  </w:r>
                  <w:r>
                    <w:br/>
                    <w:t>В соответствии с положениями Документации отборочные критерии – это устанавливаемые в документации о закупке основные обязательные минимальные требования к Участнику и его Заявке, несоответствие которым может повлечь решение закупочной комиссии об отклонении заявки от дальнейшего рассмотрения.</w:t>
                  </w:r>
                  <w:r>
                    <w:br/>
                    <w:t xml:space="preserve">Согласно пп. 33.11 Документации по проведению открытого одноэтапного конкурса Участник/ член коллективного Участника, субподрядчик (соисполнитель/субпоставщик) должен обладать необходимыми кадровыми ресурсами: </w:t>
                  </w:r>
                  <w:r>
                    <w:br/>
                  </w:r>
                  <w:r>
                    <w:lastRenderedPageBreak/>
                    <w:t xml:space="preserve">В обязательном порядке необходимы следующие специалисты: </w:t>
                  </w:r>
                  <w:r>
                    <w:br/>
                    <w:t>- Специалист в области неразрушающего контроля I, II уровня, аттестованный согласно правил аттестации персонала в области неразрушающего контроля, вид контроля: ВИК; объекты контроля: 11- здания и сооружения (строительные объекты) - не менее 7 человек.</w:t>
                  </w:r>
                  <w:r>
                    <w:br/>
                    <w:t>Считаем данное требование необоснованным по следующим обстоятельствам:</w:t>
                  </w:r>
                  <w:r>
                    <w:br/>
                    <w:t>Согласно п.1.4 Постановления Госгортехнадзора РФ №3 от 23.01.2002 г. «Об утверждении правил аттестации персонала в области неразрушающего контроля»:</w:t>
                  </w:r>
                  <w:r>
                    <w:br/>
                    <w:t>«Настоящие Правила обязательны для организаций, осуществляющих деятельность по НК при изготовлении, строительстве, монтаже, эксплуатации, реконструкции, ремонте, техническом диагностировании, экспертизе промышленной безопасности технических устройств, зданий и сооружений (далее объектов контроля) на опасных производственных объектах, и организаций, проводящих аттестацию персонала в области НК».</w:t>
                  </w:r>
                  <w:r>
                    <w:br/>
                    <w:t>Таким образом, деятельность аттестованных специалистов по неразрушающему контролю необходима только, при проведении работ на опасных производственных объектах.</w:t>
                  </w:r>
                  <w:r>
                    <w:br/>
                    <w:t>Для обследования объектов, не относящихся к опасным производственным объектам достаточно иметь поверенные приборы, дополнительные документы, а также аттестация специалистов в области неразрушающего контроля на проведение обследования не требуются.</w:t>
                  </w:r>
                  <w:r>
                    <w:br/>
                    <w:t>Правовое регулирование в области промышленной безопасности осуществляется Федеральным законом от 21.07.1997 N 116-ФЗ "О промышленной безопасности опасных производственных объектов". В соответствии со ст. 2 данного Федерального закона, опасными производственными объектами являются предприятия или их цехи, участки, площадки, а также иные производственные объекты, указанные в приложении 1 к настоящему Федеральному закону.</w:t>
                  </w:r>
                  <w:r>
                    <w:br/>
                    <w:t>Таким образом, опасные производственные объекты определены в Приложении 1 к ФЗ N 116-ФЗ "О промышленной безопасности опасных производственных объектов", в соответствии с п. 6 которого, к опасным производственным объектам не относятся объекты электросетевого хозяйства.</w:t>
                  </w:r>
                  <w:r>
                    <w:br/>
                    <w:t>В соответствии с п.2 ст.2 Федерального закона от 21.07.1997 №116-ФЗ (ред. От 07.03.2017г.) «О промышленной безопасности опасных производственных объектов» опасные производственные объекты подлежат регистрации в государственном реестре в порядке, устанавливаемом Правительством Российской Федерации.</w:t>
                  </w:r>
                  <w:r>
                    <w:br/>
                    <w:t>Из содержания Документации, Обществу не удалость сделать однозначный вывод о том, что подлежащие обследованию объекты являются опасными производственными объектами, ввиду отсутствия в Документации указания на какую-либо категорию отнесения к таковым.</w:t>
                  </w:r>
                  <w:r>
                    <w:br/>
                    <w:t>В соответствии с ч.1 ст. 55.8 Градостроительного кодекса РФ (в действующей с 01.07.2017 г. редакции):</w:t>
                  </w:r>
                  <w:r>
                    <w:br/>
                    <w:t>«Индивидуальный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r>
                    <w:br/>
                    <w:t>Выписка из реестра членов саморегулируемой организации должна содержать сведения о праве участника принимать участие в конкурентных способах заключения договоров.</w:t>
                  </w:r>
                  <w:r>
                    <w:br/>
                    <w:t xml:space="preserve">Согласно п.8 ст.55.8 Градостроительного кодекса РФ: </w:t>
                  </w:r>
                  <w:r>
                    <w:br/>
                  </w:r>
                  <w:r>
                    <w:lastRenderedPageBreak/>
                    <w:t>«Ограничение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r>
                    <w:br/>
                    <w:t>Считаем, что в данном случае для выполнения работ составляющих предмет настоящей закупки достаточным будет являться наличие у исполнителя соответствующих выписок СРО.</w:t>
                  </w:r>
                  <w:r>
                    <w:br/>
                    <w:t>Следовательно, данное требование подлежит исключению из Документации, как избыточные для целей настоящей закупки и противоречащие законодательству РФ.</w:t>
                  </w:r>
                  <w:r>
                    <w:br/>
                    <w:t xml:space="preserve">Кроме того, даже если объекты обследования являются опасными производственными объектами и для их обследования необходимо иметь аттестацию в области неразрушающего контроля из положений Документации Общество не смогло однозначно установить, что для </w:t>
                  </w:r>
                  <w:r>
                    <w:lastRenderedPageBreak/>
                    <w:t>выполнения работ по комплексному обследованию и техническому освидетельствованию зданий и сооружений филиалов АО «Тюменьэнерго» необходимо именно 7 аттестованных специалистов по причине того, что положения Документации не содержат обоснования минимального количества аттестованных специалистов.</w:t>
                  </w:r>
                  <w:r>
                    <w:br/>
                    <w:t>Изучив положения Технического задания, а также учитывая установленные Документацией сроки выполнения работ, считаем, что в данном случае для выполнения всех работ в соответствии с Техническим заданием организации достаточно иметь 3 аттестованных специалистов в области неразрушающего контроля.</w:t>
                  </w:r>
                  <w:r>
                    <w:br/>
                    <w:t>(2) Согласно п. 34 Документации по проведению открытого одноэтапного конкурса установлен перечень обязательных документов, представляемых участниками закупки для подтверждения их соответствия установленным обязательным требованиям к Участникам закупки.</w:t>
                  </w:r>
                  <w:r>
                    <w:br/>
                    <w:t>Отсутствие или не соответствие документов, предоставляемых Участником в составе Заявки, требованиям настоящей Конкурсной документации может повлечь решение закупочной комиссии об отклонении заявки от дальнейшего рассмотрения.</w:t>
                  </w:r>
                  <w:r>
                    <w:br/>
                    <w:t>В соответствии с пп. 34.6.3 Документации по проведению открытого одноэтапного конкурса в составе своей заявки Участник закупки должен предоставить референцию банка, выданную не ранее, чем за 60 календарных дней до даты размещения извещения о закупке, в которой обязательно указывается следующее:</w:t>
                  </w:r>
                  <w:r>
                    <w:br/>
                    <w:t>- все открытые счета;</w:t>
                  </w:r>
                  <w:r>
                    <w:br/>
                    <w:t>- факты нарушения контрагентом платежных обязательств;</w:t>
                  </w:r>
                  <w:r>
                    <w:br/>
                    <w:t>- обороты по счетам (за последние 12 месяцев до даты получения референции);</w:t>
                  </w:r>
                  <w:r>
                    <w:br/>
                    <w:t>- характеристика контрагента от банка (о исполнении участником обязательств перед банком);</w:t>
                  </w:r>
                  <w:r>
                    <w:br/>
                    <w:t xml:space="preserve">- информация об аресте счетов. </w:t>
                  </w:r>
                  <w:r>
                    <w:br/>
                    <w:t>Референция банка предоставляется по всем банкам, где открыты счета Участника (скан копия).</w:t>
                  </w:r>
                  <w:r>
                    <w:br/>
                    <w:t>Считаем данное требование необоснованным по следующим обстоятельствам:</w:t>
                  </w:r>
                  <w:r>
                    <w:br/>
                    <w:t xml:space="preserve">Исходя из того, что само слово «референция», в соответствии с современным экономическим словарем, означает «предоставление рекомендации, характеристики одним лицом (организацией) другому лицу (организации) в целях подтверждения того, что оно (она) пользуется доверием в деловых кругах», в корреляции с прилагательным «банковский», это понятие может означать «удостоверение кредитоспособности и платежеспособности» клиента. </w:t>
                  </w:r>
                  <w:r>
                    <w:br/>
                    <w:t>Другими словами, это обычное рекомендательное письмо-отзыв.</w:t>
                  </w:r>
                  <w:r>
                    <w:br/>
                    <w:t>Кроме того, понятие «референция банка» на сегодняшний день законодательно не урегулировано, поэтому не содержится ни в одном нормативно-правовом акте РФ.</w:t>
                  </w:r>
                  <w:r>
                    <w:br/>
                    <w:t xml:space="preserve">Таким образом, такого понятия и, в частности, документа не существует. </w:t>
                  </w:r>
                  <w:r>
                    <w:br/>
                    <w:t>Более того, в связи с тем, что понятие референции банка законодательно не закреплено, банковские организации не обязаны выдавать данный документ.</w:t>
                  </w:r>
                  <w:r>
                    <w:br/>
                  </w:r>
                  <w:r>
                    <w:lastRenderedPageBreak/>
                    <w:t>Кроме того, подтвердить финансовую устойчивость организации возможно другими общедоступными документами, на пример: приложив в составе своей заявки бухгалтерский баланс организации или налоговую отчетность за определенный период времени.</w:t>
                  </w:r>
                  <w:r>
                    <w:br/>
                    <w:t>Ч.1 ст.17 Федерального закона «О защите конкуренции» при проведении торгов, запроса котировок цен, иных закупочных процедур в соответствии с Законом № 223-ФЗ, запрещено совершать действия, которые приводят либо могут привести к недопущению, ограничению или устранению конкуренции.</w:t>
                  </w:r>
                  <w:r>
                    <w:br/>
                    <w:t>При закупке товаров, работ, услуг заказчики обязаны обеспечить равноправие, справедливость, отсутствие дискриминации и необоснованных ограничений конкуренции по отношению к участникам закупки (часть 1 статьи 3 Закона № 223-ФЗ).</w:t>
                  </w:r>
                  <w:r>
                    <w:br/>
                    <w:t>П.9 ч.10 ст.4 Закона № 223-ФЗ заказчику предоставлено право установить в документации о закупке требования к участникам закупки и перечню документов, представляемых участниками закупки для подтверждения их соответствия установленным требованиям.</w:t>
                  </w:r>
                  <w:r>
                    <w:br/>
                  </w:r>
                  <w:r>
                    <w:lastRenderedPageBreak/>
                    <w:t>Предоставленное заказчику право предъявлять к участникам закупки определенные требования должно реализовываться в системе действующего правового регулирования с учетом установленных Законом № 223-ФЗ принципов, а также запретов, перечисленных в статье 17 Закона о защите конкуренции. Реализация заказчиком полномочий, предоставленных ему Законом 223-ФЗ, в ущерб конкуренции при проведении торгов является недопустимой.</w:t>
                  </w:r>
                  <w:r>
                    <w:br/>
                    <w:t>Таким образом, требование о предоставлении в составе заявки референции банка является избыточным для целей настоящей закупки, подлежащим исключению из положений Документации и ограничивающим конкуренцию</w:t>
                  </w:r>
                </w:p>
              </w:tc>
            </w:tr>
            <w:tr w:rsidR="00C038DE">
              <w:trPr>
                <w:tblCellSpacing w:w="0" w:type="dxa"/>
              </w:trPr>
              <w:tc>
                <w:tcPr>
                  <w:tcW w:w="0" w:type="auto"/>
                  <w:vAlign w:val="center"/>
                  <w:hideMark/>
                </w:tcPr>
                <w:p w:rsidR="00C038DE" w:rsidRDefault="00C038DE">
                  <w:hyperlink r:id="rId10" w:history="1">
                    <w:r>
                      <w:rPr>
                        <w:rStyle w:val="a4"/>
                        <w:b/>
                        <w:bCs/>
                      </w:rPr>
                      <w:t>Прочитать ответ:</w:t>
                    </w:r>
                  </w:hyperlink>
                </w:p>
              </w:tc>
              <w:tc>
                <w:tcPr>
                  <w:tcW w:w="0" w:type="auto"/>
                  <w:vAlign w:val="center"/>
                  <w:hideMark/>
                </w:tcPr>
                <w:p w:rsidR="00C038DE" w:rsidRDefault="00C038DE"/>
              </w:tc>
            </w:tr>
            <w:tr w:rsidR="00C038DE">
              <w:trPr>
                <w:tblCellSpacing w:w="0" w:type="dxa"/>
              </w:trPr>
              <w:tc>
                <w:tcPr>
                  <w:tcW w:w="0" w:type="auto"/>
                  <w:gridSpan w:val="2"/>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177"/>
                  </w:tblGrid>
                  <w:tr w:rsidR="00C038DE">
                    <w:trPr>
                      <w:tblCellSpacing w:w="0" w:type="dxa"/>
                    </w:trPr>
                    <w:tc>
                      <w:tcPr>
                        <w:tcW w:w="0" w:type="auto"/>
                        <w:vAlign w:val="center"/>
                        <w:hideMark/>
                      </w:tcPr>
                      <w:p w:rsidR="00C038DE" w:rsidRDefault="00C038DE">
                        <w:pPr>
                          <w:rPr>
                            <w:sz w:val="24"/>
                            <w:szCs w:val="24"/>
                          </w:rPr>
                        </w:pPr>
                        <w:r>
                          <w:t>Вопрос 1. Была ли допущена техническая ошибка в пп.33.11 Документации по проведению открытого одноэтапного конкурса?</w:t>
                        </w:r>
                        <w:r>
                          <w:br/>
                          <w:t>Ответ: Нет.</w:t>
                        </w:r>
                        <w:r>
                          <w:br/>
                        </w:r>
                        <w:r>
                          <w:br/>
                          <w:t>Вопрос 2. В случае положительного ответа на первый вопрос, просим разъяснить будут ли внесены соответствующие изменения в Документацию по проведению открытого одноэтапного конкурса?</w:t>
                        </w:r>
                        <w:r>
                          <w:br/>
                          <w:t>Ответ: Изменения в КД вноситься не будут.</w:t>
                        </w:r>
                        <w:r>
                          <w:br/>
                        </w:r>
                        <w:r>
                          <w:br/>
                          <w:t>Вопрос 3. В случае отрицательного ответа на первый вопрос просим разъяснить, в соответствии с какими законами и нормативно – правовыми актами для проведения работ по обследованию необходимо иметь Специалистов в области неразрушающего контроля I, II уровня, аттестованный согласно правил аттестации персонала в области неразрушающего контроля, вид контроля: ВИК; объекты контроля: 11- здания и сооружения (строительные объекты) - не менее 7 человек?</w:t>
                        </w:r>
                        <w:r>
                          <w:br/>
                          <w:t>Ответ: Действующим законодательством РФ не запрещается привлечение к выполнению работ специалистов, аттестованных в области неразрушающего контроля на объектах капитального строительства, не относящихся к опасным производственным объектам.</w:t>
                        </w:r>
                        <w:r>
                          <w:br/>
                        </w:r>
                        <w:r>
                          <w:br/>
                          <w:t>Вопрос 4. Просим разъяснить, в связи с чем для производства работ по комплексному обследованию и техническому освидетельствованию зданий и сооружений филиалов АО «Тюменьэнерго» необходимо не менее 7 специалистов?</w:t>
                        </w:r>
                        <w:r>
                          <w:br/>
                          <w:t>Ответ: Исходя из условий Приложения № 1 к КД (Техническое задание), комплексное обследование и техническое освидетельствование необходимо произвести на 145 подстанциях, включающих в себя в среднем по 10-14 объектов, в т.ч. здания с кирпичным и ж/б конструктивом, а также на 99 объектах, не находящихся на территории подстанций, это: многоэтажные АБК, котельные, склады, ТП, КТП, гаражи и т.п. Необходимо отметить, что все вышеуказанные объекты территориально находятся в разных частях Тюменской области. Также необходимо учитывать, что срок проведения работ на объектах ограничен: 01.05.2019-31.08.2019 (4 календарных месяца, 82 рабочих дня).</w:t>
                        </w:r>
                        <w:r>
                          <w:br/>
                        </w:r>
                        <w:r>
                          <w:br/>
                          <w:t>Вопрос 5. Просим разъяснить, каким образом рассчитывалось минимальное количество специалистов для выполнения работ по комплексному обследованию и техническому освидетельствованию зданий и сооружений филиалов АО «Тюменьэнерго»?</w:t>
                        </w:r>
                        <w:r>
                          <w:br/>
                          <w:t xml:space="preserve">Ответ: Количество специалистов рассчитывалось исходя среднего количества времени, необходимого для выполнения работ на каждом из объектов (3 рабочих дня), а также из количества объектов. </w:t>
                        </w:r>
                        <w:r>
                          <w:br/>
                        </w:r>
                        <w:r>
                          <w:br/>
                        </w:r>
                        <w:r>
                          <w:lastRenderedPageBreak/>
                          <w:t>Вопрос 6. Относятся ли объекты обследования к опасным производственным объектам?</w:t>
                        </w:r>
                        <w:r>
                          <w:br/>
                          <w:t>Ответ: Нет.</w:t>
                        </w:r>
                        <w:r>
                          <w:br/>
                        </w:r>
                        <w:r>
                          <w:br/>
                          <w:t>Вопрос 7. Просим предоставить регистрационные номера Ростехнадзора на каждый объект из Технического задания.</w:t>
                        </w:r>
                        <w:r>
                          <w:br/>
                          <w:t>Ответ: Объекты обследования не относятся к опасным производственным объектам.</w:t>
                        </w:r>
                        <w:r>
                          <w:br/>
                        </w:r>
                        <w:r>
                          <w:br/>
                          <w:t>Вопрос 8. Была ли допущена техническая ошибка в пп.34.6.3 Документации по проведению открытого одноэтапного конкурса?</w:t>
                        </w:r>
                        <w:r>
                          <w:br/>
                          <w:t>Ответ: Нет.</w:t>
                        </w:r>
                        <w:r>
                          <w:br/>
                        </w:r>
                        <w:r>
                          <w:br/>
                          <w:t>Вопрос 9. В случае положительного ответа на восьмой вопрос просим разъяснить, будут ли внесены соответствующие изменения в Документацию по проведению открытого одноэтапного конкурса?</w:t>
                        </w:r>
                        <w:r>
                          <w:br/>
                          <w:t>Ответ: Изменения в КД вноситься не будут.</w:t>
                        </w:r>
                        <w:r>
                          <w:br/>
                        </w:r>
                        <w:r>
                          <w:br/>
                          <w:t>Вопрос 10. В случае отрицательного ответа на восьмой вопрос просим разъяснить в соответствии с какими законами и нормативно - правовыми актами для производства работ по обследованию необходимо иметь референцию банка?</w:t>
                        </w:r>
                        <w:r>
                          <w:br/>
                          <w:t xml:space="preserve">Ответ: Действующим законодательством РФ не запрещается установление требований для участников закупочных процедур, в том числе требований о предоставлении участниками документов, подтверждающих благонадежность участников. </w:t>
                        </w:r>
                        <w:r>
                          <w:br/>
                        </w:r>
                        <w:r>
                          <w:br/>
                          <w:t>Вопрос 11. Каким образом наличие референции банка может повлиять на качество выполняемых работ?</w:t>
                        </w:r>
                        <w:r>
                          <w:br/>
                          <w:t>Ответ: Наличие референции не влияет на качество выполняемых работ.</w:t>
                        </w:r>
                        <w:r>
                          <w:br/>
                        </w:r>
                        <w:r>
                          <w:br/>
                          <w:t>Вопрос 12. Была ли допущена техническая ошибка при формировании Документации, в части неустановления требования о предоставлении в составе заявки выписки СРО?</w:t>
                        </w:r>
                        <w:r>
                          <w:br/>
                          <w:t>Ответ: Да.</w:t>
                        </w:r>
                        <w:r>
                          <w:br/>
                        </w:r>
                        <w:r>
                          <w:br/>
                          <w:t>Вопрос 13. В случае положительного ответа на двенадцатый вопрос просим разъяснить, членом каких именно СРО должен быть участник закупки?</w:t>
                        </w:r>
                        <w:r>
                          <w:br/>
                          <w:t>Ответ: В соответствии с ч. 2 ст. 47 Градостроительного кодекса РФ,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w:t>
                        </w:r>
                        <w:r>
                          <w:br/>
                          <w:t>Участником должна быть предоставлена действующая на дату подачи Участником заявки Выписка из реестра членов саморегулируемой организации СРО, подтверждающая право выполнять работу по предмету закупки по форме, утвержденной приказом Ростехнадзора от 16.02.2017г. № 58 «Об утверждении формы выписки из реестра членов саморегулируемой организации» (сканкопия).</w:t>
                        </w:r>
                        <w:r>
                          <w:br/>
                        </w:r>
                        <w:r>
                          <w:br/>
                          <w:t xml:space="preserve">Вопрос 14. В случае отрицательного ответа на двенадцатый вопрос просим разъяснить, в соответствии с какими законами и нормативно – правовыми актами для выполнения работ по </w:t>
                        </w:r>
                        <w:r>
                          <w:lastRenderedPageBreak/>
                          <w:t>обследованию не требуется членство в СРО?</w:t>
                        </w:r>
                        <w:r>
                          <w:br/>
                          <w:t>Ответ: Требуется членство в СРО.</w:t>
                        </w:r>
                        <w:r>
                          <w:br/>
                        </w:r>
                        <w:r>
                          <w:br/>
                          <w:t>Вопрос 15. Во исполнение каких видов работ, предусмотренных Техническим заданием необходимо иметь оборудование для измерения воздухопроницаемости ограждающих конструкций и стыковых соединений, для измерения тепловых потоков через ограждающие конструкции?</w:t>
                        </w:r>
                        <w:r>
                          <w:br/>
                          <w:t xml:space="preserve">Ответ: Для определения действительного технического состояния ограждающих конструкций зданий. В п. п. 5.1.1. и 5.2.1. Технического задания указаны нормативные документы, в соответствии с которыми необходимо проводить комплексное обследование и техническое освидетельствование зданий и сооружений: СП 13-102-2003 и ГОСТ 31937- 2011. Виды работ, для выполнения которых необходимо иметь приборы, указаны в п.п. 5.3.1.- 5.3.4, 5.7. ГОСТ 31937- 2011. </w:t>
                        </w:r>
                        <w:r>
                          <w:br/>
                        </w:r>
                        <w:r>
                          <w:br/>
                          <w:t>Вопрос 16. Может ли быть данное оборудование не в собственности участника закупки, а в аренде?</w:t>
                        </w:r>
                        <w:r>
                          <w:br/>
                          <w:t xml:space="preserve">Ответ: Может. </w:t>
                        </w:r>
                        <w:r>
                          <w:br/>
                        </w:r>
                        <w:r>
                          <w:br/>
                          <w:t>Вопрос 17. Будут ли отклонены заявки участников, не имеющих 7 аттестованных специалистов в области неразрушающего контроля?</w:t>
                        </w:r>
                        <w:r>
                          <w:br/>
                          <w:t>Ответ: При непредставлении документа или информации в соответствии с требованиями Информационной карты, Конкурсная комиссия вправе отклонить Конкурсную заявку Участника.</w:t>
                        </w:r>
                        <w:r>
                          <w:br/>
                        </w:r>
                        <w:r>
                          <w:br/>
                          <w:t>Вопрос 18. Будут ли отклонены заявки участников, в составе которых будет отсутствовать референция банка?</w:t>
                        </w:r>
                        <w:r>
                          <w:br/>
                          <w:t>Ответ: При непредставлении документа или информации в соответствии с требованиями Информационной карты, Конкурсная комиссия вправе отклонить Конкурсную заявку Участника.</w:t>
                        </w:r>
                        <w:r>
                          <w:br/>
                        </w:r>
                        <w:r>
                          <w:br/>
                          <w:t>Вопрос 19. Будут ли отклонены заявки участников, в составе которых будут отсутствовать скан копии действующих свидетельств о поверке приборов для измерения воздухопроницаемости ограждающих конструкций и стыковых соединений; а также приборов для измерения тепловых потоков через ограждающие конструкции?</w:t>
                        </w:r>
                        <w:r>
                          <w:br/>
                          <w:t>Ответ: При непредставлении документа или информации в соответствии с требованиями Информационной карты, Конкурсная комиссия вправе отклонить Конкурсную заявку Участника.</w:t>
                        </w:r>
                      </w:p>
                    </w:tc>
                  </w:tr>
                </w:tbl>
                <w:p w:rsidR="00C038DE" w:rsidRDefault="00C038DE"/>
              </w:tc>
            </w:tr>
          </w:tbl>
          <w:p w:rsidR="00C038DE" w:rsidRDefault="00C038DE">
            <w:pPr>
              <w:rPr>
                <w:sz w:val="24"/>
                <w:szCs w:val="24"/>
              </w:rPr>
            </w:pPr>
          </w:p>
        </w:tc>
      </w:tr>
    </w:tbl>
    <w:p w:rsidR="00524286" w:rsidRDefault="00524286"/>
    <w:sectPr w:rsidR="00524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E4E"/>
    <w:multiLevelType w:val="multilevel"/>
    <w:tmpl w:val="AE2C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D4"/>
    <w:rsid w:val="00524286"/>
    <w:rsid w:val="007855D4"/>
    <w:rsid w:val="00C038DE"/>
    <w:rsid w:val="00D43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E3CC7-DAFC-47BA-84D1-5EC44E3D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43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6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43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D43621"/>
  </w:style>
  <w:style w:type="character" w:styleId="a4">
    <w:name w:val="Hyperlink"/>
    <w:basedOn w:val="a0"/>
    <w:uiPriority w:val="99"/>
    <w:semiHidden/>
    <w:unhideWhenUsed/>
    <w:rsid w:val="00D43621"/>
    <w:rPr>
      <w:color w:val="0000FF"/>
      <w:u w:val="single"/>
    </w:rPr>
  </w:style>
  <w:style w:type="character" w:customStyle="1" w:styleId="userlinkmenu">
    <w:name w:val="userlink_menu"/>
    <w:basedOn w:val="a0"/>
    <w:rsid w:val="00D43621"/>
  </w:style>
  <w:style w:type="character" w:customStyle="1" w:styleId="aux">
    <w:name w:val="aux"/>
    <w:basedOn w:val="a0"/>
    <w:rsid w:val="00C0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46884">
      <w:bodyDiv w:val="1"/>
      <w:marLeft w:val="0"/>
      <w:marRight w:val="0"/>
      <w:marTop w:val="0"/>
      <w:marBottom w:val="0"/>
      <w:divBdr>
        <w:top w:val="none" w:sz="0" w:space="0" w:color="auto"/>
        <w:left w:val="none" w:sz="0" w:space="0" w:color="auto"/>
        <w:bottom w:val="none" w:sz="0" w:space="0" w:color="auto"/>
        <w:right w:val="none" w:sz="0" w:space="0" w:color="auto"/>
      </w:divBdr>
      <w:divsChild>
        <w:div w:id="222645848">
          <w:marLeft w:val="0"/>
          <w:marRight w:val="0"/>
          <w:marTop w:val="0"/>
          <w:marBottom w:val="0"/>
          <w:divBdr>
            <w:top w:val="none" w:sz="0" w:space="0" w:color="auto"/>
            <w:left w:val="none" w:sz="0" w:space="0" w:color="auto"/>
            <w:bottom w:val="none" w:sz="0" w:space="0" w:color="auto"/>
            <w:right w:val="none" w:sz="0" w:space="0" w:color="auto"/>
          </w:divBdr>
          <w:divsChild>
            <w:div w:id="1812938987">
              <w:marLeft w:val="0"/>
              <w:marRight w:val="0"/>
              <w:marTop w:val="0"/>
              <w:marBottom w:val="0"/>
              <w:divBdr>
                <w:top w:val="none" w:sz="0" w:space="0" w:color="auto"/>
                <w:left w:val="none" w:sz="0" w:space="0" w:color="auto"/>
                <w:bottom w:val="none" w:sz="0" w:space="0" w:color="auto"/>
                <w:right w:val="none" w:sz="0" w:space="0" w:color="auto"/>
              </w:divBdr>
              <w:divsChild>
                <w:div w:id="154801243">
                  <w:marLeft w:val="0"/>
                  <w:marRight w:val="0"/>
                  <w:marTop w:val="0"/>
                  <w:marBottom w:val="0"/>
                  <w:divBdr>
                    <w:top w:val="none" w:sz="0" w:space="0" w:color="auto"/>
                    <w:left w:val="none" w:sz="0" w:space="0" w:color="auto"/>
                    <w:bottom w:val="none" w:sz="0" w:space="0" w:color="auto"/>
                    <w:right w:val="none" w:sz="0" w:space="0" w:color="auto"/>
                  </w:divBdr>
                  <w:divsChild>
                    <w:div w:id="161629506">
                      <w:marLeft w:val="0"/>
                      <w:marRight w:val="0"/>
                      <w:marTop w:val="0"/>
                      <w:marBottom w:val="0"/>
                      <w:divBdr>
                        <w:top w:val="none" w:sz="0" w:space="0" w:color="auto"/>
                        <w:left w:val="none" w:sz="0" w:space="0" w:color="auto"/>
                        <w:bottom w:val="none" w:sz="0" w:space="0" w:color="auto"/>
                        <w:right w:val="none" w:sz="0" w:space="0" w:color="auto"/>
                      </w:divBdr>
                      <w:divsChild>
                        <w:div w:id="1999263020">
                          <w:marLeft w:val="0"/>
                          <w:marRight w:val="0"/>
                          <w:marTop w:val="0"/>
                          <w:marBottom w:val="0"/>
                          <w:divBdr>
                            <w:top w:val="none" w:sz="0" w:space="0" w:color="auto"/>
                            <w:left w:val="none" w:sz="0" w:space="0" w:color="auto"/>
                            <w:bottom w:val="none" w:sz="0" w:space="0" w:color="auto"/>
                            <w:right w:val="none" w:sz="0" w:space="0" w:color="auto"/>
                          </w:divBdr>
                          <w:divsChild>
                            <w:div w:id="8942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92464">
              <w:marLeft w:val="0"/>
              <w:marRight w:val="0"/>
              <w:marTop w:val="0"/>
              <w:marBottom w:val="0"/>
              <w:divBdr>
                <w:top w:val="none" w:sz="0" w:space="0" w:color="auto"/>
                <w:left w:val="none" w:sz="0" w:space="0" w:color="auto"/>
                <w:bottom w:val="none" w:sz="0" w:space="0" w:color="auto"/>
                <w:right w:val="none" w:sz="0" w:space="0" w:color="auto"/>
              </w:divBdr>
              <w:divsChild>
                <w:div w:id="1880895812">
                  <w:marLeft w:val="0"/>
                  <w:marRight w:val="0"/>
                  <w:marTop w:val="0"/>
                  <w:marBottom w:val="0"/>
                  <w:divBdr>
                    <w:top w:val="none" w:sz="0" w:space="0" w:color="auto"/>
                    <w:left w:val="none" w:sz="0" w:space="0" w:color="auto"/>
                    <w:bottom w:val="none" w:sz="0" w:space="0" w:color="auto"/>
                    <w:right w:val="none" w:sz="0" w:space="0" w:color="auto"/>
                  </w:divBdr>
                </w:div>
                <w:div w:id="141043885">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665789287">
      <w:bodyDiv w:val="1"/>
      <w:marLeft w:val="0"/>
      <w:marRight w:val="0"/>
      <w:marTop w:val="0"/>
      <w:marBottom w:val="0"/>
      <w:divBdr>
        <w:top w:val="none" w:sz="0" w:space="0" w:color="auto"/>
        <w:left w:val="none" w:sz="0" w:space="0" w:color="auto"/>
        <w:bottom w:val="none" w:sz="0" w:space="0" w:color="auto"/>
        <w:right w:val="none" w:sz="0" w:space="0" w:color="auto"/>
      </w:divBdr>
      <w:divsChild>
        <w:div w:id="40180415">
          <w:marLeft w:val="0"/>
          <w:marRight w:val="0"/>
          <w:marTop w:val="0"/>
          <w:marBottom w:val="0"/>
          <w:divBdr>
            <w:top w:val="none" w:sz="0" w:space="0" w:color="auto"/>
            <w:left w:val="none" w:sz="0" w:space="0" w:color="auto"/>
            <w:bottom w:val="none" w:sz="0" w:space="0" w:color="auto"/>
            <w:right w:val="none" w:sz="0" w:space="0" w:color="auto"/>
          </w:divBdr>
          <w:divsChild>
            <w:div w:id="1762338518">
              <w:marLeft w:val="0"/>
              <w:marRight w:val="0"/>
              <w:marTop w:val="0"/>
              <w:marBottom w:val="0"/>
              <w:divBdr>
                <w:top w:val="none" w:sz="0" w:space="0" w:color="auto"/>
                <w:left w:val="none" w:sz="0" w:space="0" w:color="auto"/>
                <w:bottom w:val="none" w:sz="0" w:space="0" w:color="auto"/>
                <w:right w:val="none" w:sz="0" w:space="0" w:color="auto"/>
              </w:divBdr>
              <w:divsChild>
                <w:div w:id="1346714351">
                  <w:marLeft w:val="30"/>
                  <w:marRight w:val="30"/>
                  <w:marTop w:val="30"/>
                  <w:marBottom w:val="30"/>
                  <w:divBdr>
                    <w:top w:val="dotted" w:sz="6" w:space="2" w:color="000000"/>
                    <w:left w:val="dotted" w:sz="6" w:space="2" w:color="000000"/>
                    <w:bottom w:val="dotted" w:sz="6" w:space="2" w:color="000000"/>
                    <w:right w:val="dotted" w:sz="6" w:space="2" w:color="000000"/>
                  </w:divBdr>
                </w:div>
                <w:div w:id="225336230">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27801&amp;action=explanation&amp;answ_id=399413&amp;doexpl=answer&amp;expl_id=393384" TargetMode="External"/><Relationship Id="rId3" Type="http://schemas.openxmlformats.org/officeDocument/2006/relationships/settings" Target="settings.xml"/><Relationship Id="rId7" Type="http://schemas.openxmlformats.org/officeDocument/2006/relationships/hyperlink" Target="https://www.b2b-mrsk.ru/market/view.html?id=1127801&amp;action=expla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2b-mrsk.ru/zgr/?action=add_to_queue&amp;item=393386&amp;lot_id=1127801&amp;lot_type=20&amp;notice_code=40" TargetMode="External"/><Relationship Id="rId11" Type="http://schemas.openxmlformats.org/officeDocument/2006/relationships/fontTable" Target="fontTable.xml"/><Relationship Id="rId5" Type="http://schemas.openxmlformats.org/officeDocument/2006/relationships/hyperlink" Target="https://www.b2b-mrsk.ru/market/view.html?id=1127801&amp;action=explanation&amp;answ_id=399412&amp;doexpl=answer&amp;expl_id=393386" TargetMode="External"/><Relationship Id="rId10" Type="http://schemas.openxmlformats.org/officeDocument/2006/relationships/hyperlink" Target="https://www.b2b-mrsk.ru/market/view.html?id=1127801&amp;action=explanation" TargetMode="External"/><Relationship Id="rId4" Type="http://schemas.openxmlformats.org/officeDocument/2006/relationships/webSettings" Target="webSettings.xml"/><Relationship Id="rId9" Type="http://schemas.openxmlformats.org/officeDocument/2006/relationships/hyperlink" Target="https://www.b2b-mrsk.ru/zgr/?action=add_to_queue&amp;item=393384&amp;lot_id=1127801&amp;lot_type=20&amp;notice_code=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4938</Words>
  <Characters>28150</Characters>
  <Application>Microsoft Office Word</Application>
  <DocSecurity>0</DocSecurity>
  <Lines>234</Lines>
  <Paragraphs>66</Paragraphs>
  <ScaleCrop>false</ScaleCrop>
  <Company>te</Company>
  <LinksUpToDate>false</LinksUpToDate>
  <CharactersWithSpaces>33022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3</cp:revision>
  <dcterms:created xsi:type="dcterms:W3CDTF">2018-11-20T10:47:00Z</dcterms:created>
  <dcterms:modified xsi:type="dcterms:W3CDTF">2018-11-28T14:25:00Z</dcterms:modified>
</cp:coreProperties>
</file>