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D13" w:rsidRPr="00A23D13" w:rsidRDefault="00A23D13" w:rsidP="00A23D13">
      <w:pPr>
        <w:shd w:val="clear" w:color="auto" w:fill="FFFFFF"/>
        <w:spacing w:after="100" w:afterAutospacing="1" w:line="315" w:lineRule="atLeast"/>
        <w:outlineLvl w:val="0"/>
        <w:rPr>
          <w:rFonts w:ascii="Arial" w:hAnsi="Arial" w:cs="Arial"/>
          <w:color w:val="333333"/>
          <w:kern w:val="36"/>
          <w:sz w:val="27"/>
          <w:szCs w:val="27"/>
        </w:rPr>
      </w:pPr>
      <w:r w:rsidRPr="00A23D13">
        <w:rPr>
          <w:rFonts w:ascii="Arial" w:hAnsi="Arial" w:cs="Arial"/>
          <w:color w:val="333333"/>
          <w:kern w:val="36"/>
          <w:sz w:val="27"/>
          <w:szCs w:val="27"/>
        </w:rPr>
        <w:t>Конкурс (тендер) № 37324 </w:t>
      </w:r>
      <w:r w:rsidRPr="00A23D13">
        <w:rPr>
          <w:rFonts w:ascii="Arial" w:hAnsi="Arial" w:cs="Arial"/>
          <w:color w:val="A0A0A0"/>
          <w:kern w:val="36"/>
          <w:sz w:val="21"/>
          <w:szCs w:val="21"/>
        </w:rPr>
        <w:t>(вскрытие конвертов 12.11.2013 в 08:00)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A23D13" w:rsidRPr="00A23D13" w:rsidTr="00A23D13">
        <w:trPr>
          <w:tblCellSpacing w:w="0" w:type="dxa"/>
        </w:trPr>
        <w:tc>
          <w:tcPr>
            <w:tcW w:w="0" w:type="auto"/>
            <w:shd w:val="clear" w:color="auto" w:fill="FFFFFF"/>
            <w:hideMark/>
          </w:tcPr>
          <w:p w:rsidR="00A23D13" w:rsidRPr="00A23D13" w:rsidRDefault="00A23D13" w:rsidP="00A23D13">
            <w:pPr>
              <w:shd w:val="clear" w:color="auto" w:fill="0786D0"/>
              <w:rPr>
                <w:rFonts w:ascii="Arial" w:hAnsi="Arial" w:cs="Arial"/>
                <w:color w:val="FFFFFF"/>
                <w:sz w:val="18"/>
                <w:szCs w:val="18"/>
              </w:rPr>
            </w:pPr>
            <w:r w:rsidRPr="00A23D13">
              <w:rPr>
                <w:rFonts w:ascii="Arial" w:hAnsi="Arial" w:cs="Arial"/>
                <w:color w:val="FFFFFF"/>
                <w:sz w:val="18"/>
                <w:szCs w:val="18"/>
              </w:rPr>
              <w:t>Извещение</w:t>
            </w:r>
          </w:p>
          <w:p w:rsidR="00A23D13" w:rsidRPr="00A23D13" w:rsidRDefault="00A23D13" w:rsidP="00A23D13">
            <w:pPr>
              <w:shd w:val="clear" w:color="auto" w:fill="D5DADB"/>
              <w:rPr>
                <w:rFonts w:ascii="Arial" w:hAnsi="Arial" w:cs="Arial"/>
                <w:color w:val="333333"/>
                <w:sz w:val="18"/>
                <w:szCs w:val="18"/>
              </w:rPr>
            </w:pPr>
            <w:hyperlink r:id="rId5" w:history="1">
              <w:r w:rsidRPr="00A23D13">
                <w:rPr>
                  <w:rFonts w:ascii="Arial" w:hAnsi="Arial" w:cs="Arial"/>
                  <w:color w:val="333333"/>
                  <w:sz w:val="18"/>
                  <w:szCs w:val="18"/>
                  <w:u w:val="single"/>
                  <w:bdr w:val="none" w:sz="0" w:space="0" w:color="auto" w:frame="1"/>
                </w:rPr>
                <w:t>Лоты</w:t>
              </w:r>
            </w:hyperlink>
            <w:r w:rsidRPr="00A23D13">
              <w:rPr>
                <w:rFonts w:ascii="Arial" w:hAnsi="Arial" w:cs="Arial"/>
                <w:color w:val="333333"/>
                <w:sz w:val="18"/>
                <w:szCs w:val="18"/>
              </w:rPr>
              <w:t> - 1</w:t>
            </w:r>
          </w:p>
          <w:p w:rsidR="00A23D13" w:rsidRPr="00A23D13" w:rsidRDefault="00A23D13" w:rsidP="00A23D13">
            <w:pPr>
              <w:shd w:val="clear" w:color="auto" w:fill="D5DADB"/>
              <w:rPr>
                <w:rFonts w:ascii="Arial" w:hAnsi="Arial" w:cs="Arial"/>
                <w:color w:val="333333"/>
                <w:sz w:val="18"/>
                <w:szCs w:val="18"/>
              </w:rPr>
            </w:pPr>
            <w:hyperlink r:id="rId6" w:history="1">
              <w:r w:rsidRPr="00A23D13">
                <w:rPr>
                  <w:rFonts w:ascii="Arial" w:hAnsi="Arial" w:cs="Arial"/>
                  <w:color w:val="333333"/>
                  <w:sz w:val="18"/>
                  <w:szCs w:val="18"/>
                  <w:u w:val="single"/>
                  <w:bdr w:val="none" w:sz="0" w:space="0" w:color="auto" w:frame="1"/>
                </w:rPr>
                <w:t>Запросы разъяснений</w:t>
              </w:r>
            </w:hyperlink>
            <w:r w:rsidRPr="00A23D13">
              <w:rPr>
                <w:rFonts w:ascii="Arial" w:hAnsi="Arial" w:cs="Arial"/>
                <w:color w:val="333333"/>
                <w:sz w:val="18"/>
                <w:szCs w:val="18"/>
              </w:rPr>
              <w:t> - 0</w:t>
            </w:r>
          </w:p>
          <w:p w:rsidR="00A23D13" w:rsidRPr="00A23D13" w:rsidRDefault="00A23D13" w:rsidP="00A23D13">
            <w:pPr>
              <w:shd w:val="clear" w:color="auto" w:fill="D5DADB"/>
              <w:rPr>
                <w:rFonts w:ascii="Arial" w:hAnsi="Arial" w:cs="Arial"/>
                <w:color w:val="333333"/>
                <w:sz w:val="18"/>
                <w:szCs w:val="18"/>
              </w:rPr>
            </w:pPr>
            <w:hyperlink r:id="rId7" w:history="1">
              <w:r w:rsidRPr="00A23D13">
                <w:rPr>
                  <w:rFonts w:ascii="Arial" w:hAnsi="Arial" w:cs="Arial"/>
                  <w:color w:val="333333"/>
                  <w:sz w:val="18"/>
                  <w:szCs w:val="18"/>
                  <w:u w:val="single"/>
                  <w:bdr w:val="none" w:sz="0" w:space="0" w:color="auto" w:frame="1"/>
                </w:rPr>
                <w:t>Приглашения к участию</w:t>
              </w:r>
            </w:hyperlink>
            <w:r w:rsidRPr="00A23D13">
              <w:rPr>
                <w:rFonts w:ascii="Arial" w:hAnsi="Arial" w:cs="Arial"/>
                <w:color w:val="333333"/>
                <w:sz w:val="18"/>
                <w:szCs w:val="18"/>
              </w:rPr>
              <w:t> - 0</w:t>
            </w:r>
          </w:p>
          <w:p w:rsidR="00A23D13" w:rsidRPr="00A23D13" w:rsidRDefault="00A23D13" w:rsidP="00A23D13">
            <w:pPr>
              <w:shd w:val="clear" w:color="auto" w:fill="D5DADB"/>
              <w:rPr>
                <w:rFonts w:ascii="Arial" w:hAnsi="Arial" w:cs="Arial"/>
                <w:color w:val="333333"/>
                <w:sz w:val="18"/>
                <w:szCs w:val="18"/>
              </w:rPr>
            </w:pPr>
            <w:hyperlink r:id="rId8" w:history="1">
              <w:r w:rsidRPr="00A23D13">
                <w:rPr>
                  <w:rFonts w:ascii="Arial" w:hAnsi="Arial" w:cs="Arial"/>
                  <w:color w:val="333333"/>
                  <w:sz w:val="18"/>
                  <w:szCs w:val="18"/>
                  <w:u w:val="single"/>
                  <w:bdr w:val="none" w:sz="0" w:space="0" w:color="auto" w:frame="1"/>
                </w:rPr>
                <w:t>Претенденты</w:t>
              </w:r>
            </w:hyperlink>
            <w:r w:rsidRPr="00A23D13">
              <w:rPr>
                <w:rFonts w:ascii="Arial" w:hAnsi="Arial" w:cs="Arial"/>
                <w:color w:val="333333"/>
                <w:sz w:val="18"/>
                <w:szCs w:val="18"/>
              </w:rPr>
              <w:t> - 0</w:t>
            </w:r>
          </w:p>
          <w:p w:rsidR="00A23D13" w:rsidRPr="00A23D13" w:rsidRDefault="00A23D13" w:rsidP="00A23D13">
            <w:pPr>
              <w:shd w:val="clear" w:color="auto" w:fill="D5DADB"/>
              <w:rPr>
                <w:rFonts w:ascii="Arial" w:hAnsi="Arial" w:cs="Arial"/>
                <w:color w:val="333333"/>
                <w:sz w:val="18"/>
                <w:szCs w:val="18"/>
              </w:rPr>
            </w:pPr>
            <w:hyperlink r:id="rId9" w:history="1">
              <w:r w:rsidRPr="00A23D13">
                <w:rPr>
                  <w:rFonts w:ascii="Arial" w:hAnsi="Arial" w:cs="Arial"/>
                  <w:color w:val="333333"/>
                  <w:sz w:val="18"/>
                  <w:szCs w:val="18"/>
                  <w:u w:val="single"/>
                  <w:bdr w:val="none" w:sz="0" w:space="0" w:color="auto" w:frame="1"/>
                </w:rPr>
                <w:t>Статистика посещений</w:t>
              </w:r>
            </w:hyperlink>
          </w:p>
        </w:tc>
      </w:tr>
    </w:tbl>
    <w:p w:rsidR="00A23D13" w:rsidRPr="00A23D13" w:rsidRDefault="00A23D13" w:rsidP="00A23D13"/>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A23D13" w:rsidRPr="00A23D13" w:rsidTr="00A23D13">
        <w:trPr>
          <w:tblCellSpacing w:w="7" w:type="dxa"/>
        </w:trPr>
        <w:tc>
          <w:tcPr>
            <w:tcW w:w="0" w:type="auto"/>
            <w:shd w:val="clear" w:color="auto" w:fill="C2C9CD"/>
            <w:tcMar>
              <w:top w:w="75" w:type="dxa"/>
              <w:left w:w="75" w:type="dxa"/>
              <w:bottom w:w="75" w:type="dxa"/>
              <w:right w:w="75" w:type="dxa"/>
            </w:tcMar>
            <w:hideMark/>
          </w:tcPr>
          <w:p w:rsidR="00A23D13" w:rsidRPr="00A23D13" w:rsidRDefault="00A23D13" w:rsidP="00A23D13">
            <w:pPr>
              <w:shd w:val="clear" w:color="auto" w:fill="C2C9CD"/>
              <w:spacing w:line="210" w:lineRule="atLeast"/>
              <w:outlineLvl w:val="1"/>
              <w:rPr>
                <w:rFonts w:ascii="Arial" w:hAnsi="Arial" w:cs="Arial"/>
                <w:color w:val="333333"/>
                <w:sz w:val="18"/>
                <w:szCs w:val="18"/>
              </w:rPr>
            </w:pPr>
            <w:hyperlink r:id="rId10" w:history="1">
              <w:r w:rsidRPr="00A23D13">
                <w:rPr>
                  <w:rFonts w:ascii="Arial" w:hAnsi="Arial" w:cs="Arial"/>
                  <w:b/>
                  <w:bCs/>
                  <w:color w:val="990066"/>
                  <w:sz w:val="18"/>
                  <w:szCs w:val="18"/>
                  <w:u w:val="single"/>
                </w:rPr>
                <w:t>Филиал Открытого Акционерного Общества энергетики и электрификации "</w:t>
              </w:r>
              <w:proofErr w:type="spellStart"/>
              <w:r w:rsidRPr="00A23D13">
                <w:rPr>
                  <w:rFonts w:ascii="Arial" w:hAnsi="Arial" w:cs="Arial"/>
                  <w:b/>
                  <w:bCs/>
                  <w:color w:val="990066"/>
                  <w:sz w:val="18"/>
                  <w:szCs w:val="18"/>
                  <w:u w:val="single"/>
                </w:rPr>
                <w:t>Тюменьэнерго</w:t>
              </w:r>
              <w:proofErr w:type="spellEnd"/>
              <w:r w:rsidRPr="00A23D13">
                <w:rPr>
                  <w:rFonts w:ascii="Arial" w:hAnsi="Arial" w:cs="Arial"/>
                  <w:b/>
                  <w:bCs/>
                  <w:color w:val="990066"/>
                  <w:sz w:val="18"/>
                  <w:szCs w:val="18"/>
                  <w:u w:val="single"/>
                </w:rPr>
                <w:t xml:space="preserve">" </w:t>
              </w:r>
              <w:proofErr w:type="spellStart"/>
              <w:r w:rsidRPr="00A23D13">
                <w:rPr>
                  <w:rFonts w:ascii="Arial" w:hAnsi="Arial" w:cs="Arial"/>
                  <w:b/>
                  <w:bCs/>
                  <w:color w:val="990066"/>
                  <w:sz w:val="18"/>
                  <w:szCs w:val="18"/>
                  <w:u w:val="single"/>
                </w:rPr>
                <w:t>Нижневартовские</w:t>
              </w:r>
              <w:proofErr w:type="spellEnd"/>
              <w:r w:rsidRPr="00A23D13">
                <w:rPr>
                  <w:rFonts w:ascii="Arial" w:hAnsi="Arial" w:cs="Arial"/>
                  <w:b/>
                  <w:bCs/>
                  <w:color w:val="990066"/>
                  <w:sz w:val="18"/>
                  <w:szCs w:val="18"/>
                  <w:u w:val="single"/>
                </w:rPr>
                <w:t xml:space="preserve"> электрические сети</w:t>
              </w:r>
            </w:hyperlink>
            <w:r w:rsidRPr="00A23D13">
              <w:rPr>
                <w:rFonts w:ascii="Arial" w:hAnsi="Arial" w:cs="Arial"/>
                <w:color w:val="333333"/>
                <w:sz w:val="18"/>
                <w:szCs w:val="18"/>
              </w:rPr>
              <w:t>, 628617, Ханты-Мансийский Автономный округ - Югра, Тюменская область, г. Нижневартовск, ул. Пермская, 22, </w:t>
            </w:r>
            <w:r w:rsidRPr="00A23D13">
              <w:rPr>
                <w:rFonts w:ascii="Arial" w:hAnsi="Arial" w:cs="Arial"/>
                <w:b/>
                <w:bCs/>
                <w:color w:val="333333"/>
                <w:sz w:val="18"/>
                <w:szCs w:val="18"/>
              </w:rPr>
              <w:t>приглашает принять участие в процедуре (тендере)</w:t>
            </w:r>
            <w:r w:rsidRPr="00A23D13">
              <w:rPr>
                <w:rFonts w:ascii="Arial" w:hAnsi="Arial" w:cs="Arial"/>
                <w:color w:val="333333"/>
                <w:sz w:val="18"/>
                <w:szCs w:val="18"/>
              </w:rPr>
              <w:t>.</w:t>
            </w:r>
          </w:p>
        </w:tc>
      </w:tr>
      <w:tr w:rsidR="00A23D13" w:rsidRPr="00A23D13" w:rsidTr="00A23D1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82"/>
              <w:gridCol w:w="7623"/>
            </w:tblGrid>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Предмет конкурса (тендера):</w:t>
                  </w:r>
                </w:p>
              </w:tc>
              <w:tc>
                <w:tcPr>
                  <w:tcW w:w="0" w:type="auto"/>
                  <w:shd w:val="clear" w:color="auto" w:fill="F7F7F7"/>
                  <w:hideMark/>
                </w:tcPr>
                <w:p w:rsidR="00A23D13" w:rsidRPr="00A23D13" w:rsidRDefault="00A23D13" w:rsidP="00A23D13">
                  <w:r w:rsidRPr="00A23D13">
                    <w:t>Открытый одноэтапный конкурс без предварительного отбора на право заключения Договора на поставку топлива для автотранспорта (наливом) для нужд филиала ОАО «</w:t>
                  </w:r>
                  <w:proofErr w:type="spellStart"/>
                  <w:r w:rsidRPr="00A23D13">
                    <w:t>Тюменьэнерго</w:t>
                  </w:r>
                  <w:proofErr w:type="spellEnd"/>
                  <w:r w:rsidRPr="00A23D13">
                    <w:t xml:space="preserve">» </w:t>
                  </w:r>
                  <w:proofErr w:type="spellStart"/>
                  <w:r w:rsidRPr="00A23D13">
                    <w:t>Нижневартовские</w:t>
                  </w:r>
                  <w:proofErr w:type="spellEnd"/>
                  <w:r w:rsidRPr="00A23D13">
                    <w:t xml:space="preserve"> электрические сети</w:t>
                  </w:r>
                  <w:r w:rsidRPr="00A23D13">
                    <w:br/>
                  </w:r>
                  <w:r w:rsidRPr="00A23D13">
                    <w:rPr>
                      <w:b/>
                      <w:bCs/>
                    </w:rPr>
                    <w:t>Лот № 1.</w:t>
                  </w:r>
                  <w:r w:rsidRPr="00A23D13">
                    <w:t> Поставка топлива для автотранспорта (наливом) для нужд филиала ОАО «</w:t>
                  </w:r>
                  <w:proofErr w:type="spellStart"/>
                  <w:r w:rsidRPr="00A23D13">
                    <w:t>Тюменьэнерго</w:t>
                  </w:r>
                  <w:proofErr w:type="spellEnd"/>
                  <w:r w:rsidRPr="00A23D13">
                    <w:t xml:space="preserve">» </w:t>
                  </w:r>
                  <w:proofErr w:type="spellStart"/>
                  <w:r w:rsidRPr="00A23D13">
                    <w:t>Нижневартовские</w:t>
                  </w:r>
                  <w:proofErr w:type="spellEnd"/>
                  <w:r w:rsidRPr="00A23D13">
                    <w:t xml:space="preserve"> электрические сети (ОАО "</w:t>
                  </w:r>
                  <w:proofErr w:type="spellStart"/>
                  <w:r w:rsidRPr="00A23D13">
                    <w:t>Тюменьэнерго</w:t>
                  </w:r>
                  <w:proofErr w:type="spellEnd"/>
                  <w:r w:rsidRPr="00A23D13">
                    <w:t>")</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Категории ОКДП:</w:t>
                  </w:r>
                </w:p>
              </w:tc>
              <w:tc>
                <w:tcPr>
                  <w:tcW w:w="0" w:type="auto"/>
                  <w:hideMark/>
                </w:tcPr>
                <w:p w:rsidR="00A23D13" w:rsidRPr="00A23D13" w:rsidRDefault="00A23D13" w:rsidP="00A23D13">
                  <w:r w:rsidRPr="00A23D13">
                    <w:t>2320212 </w:t>
                  </w:r>
                  <w:hyperlink r:id="rId11" w:history="1">
                    <w:r w:rsidRPr="00A23D13">
                      <w:rPr>
                        <w:color w:val="1C50A4"/>
                        <w:u w:val="single"/>
                      </w:rPr>
                      <w:t>Бензины автомобильные</w:t>
                    </w:r>
                  </w:hyperlink>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Категория ОКВЭД:</w:t>
                  </w:r>
                </w:p>
              </w:tc>
              <w:tc>
                <w:tcPr>
                  <w:tcW w:w="0" w:type="auto"/>
                  <w:shd w:val="clear" w:color="auto" w:fill="F7F7F7"/>
                  <w:hideMark/>
                </w:tcPr>
                <w:p w:rsidR="00A23D13" w:rsidRPr="00A23D13" w:rsidRDefault="00A23D13" w:rsidP="00A23D13">
                  <w:pPr>
                    <w:shd w:val="clear" w:color="auto" w:fill="FFFFFF"/>
                  </w:pPr>
                  <w:r w:rsidRPr="00A23D13">
                    <w:t>Производство нефтепродуктов;</w:t>
                  </w:r>
                </w:p>
                <w:p w:rsidR="00A23D13" w:rsidRPr="00A23D13" w:rsidRDefault="00A23D13" w:rsidP="00A23D13">
                  <w:pPr>
                    <w:shd w:val="clear" w:color="auto" w:fill="FFFFFF"/>
                  </w:pPr>
                  <w:r w:rsidRPr="00A23D13">
                    <w:t>Розничная торговля моторным топливом;</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Конкурс (тендер) объявлен:</w:t>
                  </w:r>
                </w:p>
              </w:tc>
              <w:tc>
                <w:tcPr>
                  <w:tcW w:w="0" w:type="auto"/>
                  <w:hideMark/>
                </w:tcPr>
                <w:p w:rsidR="00A23D13" w:rsidRPr="00A23D13" w:rsidRDefault="00A23D13" w:rsidP="00A23D13">
                  <w:r w:rsidRPr="00A23D13">
                    <w:t>14.10.2013 13:15</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Сроки поставки:</w:t>
                  </w:r>
                </w:p>
              </w:tc>
              <w:tc>
                <w:tcPr>
                  <w:tcW w:w="0" w:type="auto"/>
                  <w:shd w:val="clear" w:color="auto" w:fill="F7F7F7"/>
                  <w:hideMark/>
                </w:tcPr>
                <w:p w:rsidR="00A23D13" w:rsidRPr="00A23D13" w:rsidRDefault="00A23D13" w:rsidP="00A23D13">
                  <w:r w:rsidRPr="00A23D13">
                    <w:rPr>
                      <w:b/>
                      <w:bCs/>
                    </w:rPr>
                    <w:t>2014 Год</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Почтовый адрес заказчика:</w:t>
                  </w:r>
                </w:p>
              </w:tc>
              <w:tc>
                <w:tcPr>
                  <w:tcW w:w="0" w:type="auto"/>
                  <w:hideMark/>
                </w:tcPr>
                <w:p w:rsidR="00A23D13" w:rsidRPr="00A23D13" w:rsidRDefault="00A23D13" w:rsidP="00A23D13">
                  <w:r w:rsidRPr="00A23D13">
                    <w:t>628617, Ханты-Мансийский Автономный округ - Югра, Тюменская область, г. Нижневартовск, ул. Пермская, 22</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Местонахождение заказчика:</w:t>
                  </w:r>
                </w:p>
              </w:tc>
              <w:tc>
                <w:tcPr>
                  <w:tcW w:w="0" w:type="auto"/>
                  <w:shd w:val="clear" w:color="auto" w:fill="F7F7F7"/>
                  <w:hideMark/>
                </w:tcPr>
                <w:p w:rsidR="00A23D13" w:rsidRPr="00A23D13" w:rsidRDefault="00A23D13" w:rsidP="00A23D13">
                  <w:r w:rsidRPr="00A23D13">
                    <w:t>628617, Ханты-Мансийский Автономный округ - Югра, Тюменская область, г. Нижневартовск, ул. Пермская, 22</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Контактное лицо:</w:t>
                  </w:r>
                </w:p>
              </w:tc>
              <w:tc>
                <w:tcPr>
                  <w:tcW w:w="0" w:type="auto"/>
                  <w:hideMark/>
                </w:tcPr>
                <w:p w:rsidR="00A23D13" w:rsidRPr="00A23D13" w:rsidRDefault="00A23D13" w:rsidP="00A23D13">
                  <w:hyperlink r:id="rId12" w:tgtFrame="_blank" w:tooltip="Отправить личное сообщение" w:history="1">
                    <w:r w:rsidRPr="00A23D13">
                      <w:rPr>
                        <w:color w:val="1C50A4"/>
                        <w:u w:val="single"/>
                      </w:rPr>
                      <w:t>Черных Юлия Николаевна</w:t>
                    </w:r>
                  </w:hyperlink>
                  <w:r w:rsidRPr="00A23D13">
                    <w:t>, тел.+7 (3466) 48-42-83, </w:t>
                  </w:r>
                  <w:hyperlink r:id="rId13" w:history="1">
                    <w:r w:rsidRPr="00A23D13">
                      <w:rPr>
                        <w:color w:val="1C50A4"/>
                        <w:u w:val="single"/>
                      </w:rPr>
                      <w:t>ChernyhYN@vartanet.ru</w:t>
                    </w:r>
                  </w:hyperlink>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Конкурсная комиссия:</w:t>
                  </w:r>
                </w:p>
              </w:tc>
              <w:tc>
                <w:tcPr>
                  <w:tcW w:w="0" w:type="auto"/>
                  <w:shd w:val="clear" w:color="auto" w:fill="F7F7F7"/>
                  <w:hideMark/>
                </w:tcPr>
                <w:p w:rsidR="00A23D13" w:rsidRPr="00A23D13" w:rsidRDefault="00A23D13" w:rsidP="00A23D13">
                  <w:proofErr w:type="gramStart"/>
                  <w:r w:rsidRPr="00A23D13">
                    <w:t>Назначена</w:t>
                  </w:r>
                  <w:proofErr w:type="gramEnd"/>
                  <w:r w:rsidRPr="00A23D13">
                    <w:t xml:space="preserve"> приказом ОАО "</w:t>
                  </w:r>
                  <w:proofErr w:type="spellStart"/>
                  <w:r w:rsidRPr="00A23D13">
                    <w:t>Тюменьэнерго</w:t>
                  </w:r>
                  <w:proofErr w:type="spellEnd"/>
                  <w:r w:rsidRPr="00A23D13">
                    <w:t>" от 16.09.2013 г. № 386.</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Требования к участникам:</w:t>
                  </w:r>
                </w:p>
              </w:tc>
              <w:tc>
                <w:tcPr>
                  <w:tcW w:w="0" w:type="auto"/>
                  <w:hideMark/>
                </w:tcPr>
                <w:p w:rsidR="00A23D13" w:rsidRPr="00A23D13" w:rsidRDefault="00A23D13" w:rsidP="00A23D13">
                  <w:proofErr w:type="gramStart"/>
                  <w:r w:rsidRPr="00A23D13">
                    <w:t>- Участник должен обладать гражданской правоспособностью в полном объеме для заключения и исполнения Договора </w:t>
                  </w:r>
                  <w:r w:rsidRPr="00A23D13">
                    <w:br/>
                  </w:r>
                  <w:r w:rsidRPr="00A23D13">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A23D13">
                    <w:br/>
                  </w:r>
                  <w:r w:rsidRPr="00A23D13">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A23D13">
                    <w:br/>
                  </w:r>
                  <w:r w:rsidRPr="00A23D13">
                    <w:br/>
                    <w:t>- Требования к благонадежности Участника, члена коллективного Участника, субподрядчика</w:t>
                  </w:r>
                  <w:r w:rsidRPr="00A23D13">
                    <w:br/>
                    <w:t>а) участник должен</w:t>
                  </w:r>
                  <w:proofErr w:type="gramEnd"/>
                  <w:r w:rsidRPr="00A23D13">
                    <w:t xml:space="preserve"> </w:t>
                  </w:r>
                  <w:proofErr w:type="gramStart"/>
                  <w:r w:rsidRPr="00A23D13">
                    <w:t>дать согласие на проведение проверки благонадежности Службой экономической безопасности ОАО «</w:t>
                  </w:r>
                  <w:proofErr w:type="spellStart"/>
                  <w:r w:rsidRPr="00A23D13">
                    <w:t>Тюменьэнерго</w:t>
                  </w:r>
                  <w:proofErr w:type="spellEnd"/>
                  <w:r w:rsidRPr="00A23D13">
                    <w:t>»;</w:t>
                  </w:r>
                  <w:r w:rsidRPr="00A23D13">
                    <w:br/>
                    <w:t xml:space="preserve">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w:t>
                  </w:r>
                  <w:r w:rsidRPr="00A23D13">
                    <w:lastRenderedPageBreak/>
                    <w:t>несостоятельным (банкротом);</w:t>
                  </w:r>
                  <w:r w:rsidRPr="00A23D13">
                    <w:br/>
                    <w:t>в) деятельность Участника должна быть безубыточной за последний завершенный год;</w:t>
                  </w:r>
                  <w:r w:rsidRPr="00A23D13">
                    <w:br/>
                    <w:t>г) экономическая деятельности Участника не должна быть приостановлена в административном порядке;</w:t>
                  </w:r>
                  <w:proofErr w:type="gramEnd"/>
                  <w:r w:rsidRPr="00A23D13">
                    <w:br/>
                    <w:t>д) участник не должен иметь задолженность по уплате налогов;</w:t>
                  </w:r>
                  <w:r w:rsidRPr="00A23D13">
                    <w:br/>
                    <w:t>е) на имущество Участника не должен быть наложен арест;</w:t>
                  </w:r>
                  <w:r w:rsidRPr="00A23D13">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23D13">
                    <w:br/>
                  </w:r>
                  <w:proofErr w:type="gramStart"/>
                  <w:r w:rsidRPr="00A23D13">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A23D13">
                    <w:t xml:space="preserve"> муниципальных нужд";</w:t>
                  </w:r>
                  <w:r w:rsidRPr="00A23D13">
                    <w:br/>
                    <w:t>и) участник не должен быть аффилирован к ОАО «</w:t>
                  </w:r>
                  <w:proofErr w:type="spellStart"/>
                  <w:r w:rsidRPr="00A23D13">
                    <w:t>Тюменьэнерго</w:t>
                  </w:r>
                  <w:proofErr w:type="spellEnd"/>
                  <w:r w:rsidRPr="00A23D13">
                    <w:t>»;</w:t>
                  </w:r>
                  <w:r w:rsidRPr="00A23D13">
                    <w:br/>
                    <w:t>к) участник не должен быть аффилирован к другим участникам регламентированной закупочной процедуры;</w:t>
                  </w:r>
                  <w:r w:rsidRPr="00A23D13">
                    <w:br/>
                  </w:r>
                  <w:proofErr w:type="gramStart"/>
                  <w:r w:rsidRPr="00A23D13">
                    <w:t>л) отсутствие у ОАО "</w:t>
                  </w:r>
                  <w:proofErr w:type="spellStart"/>
                  <w:r w:rsidRPr="00A23D13">
                    <w:t>Тюменьэнерго</w:t>
                  </w:r>
                  <w:proofErr w:type="spellEnd"/>
                  <w:r w:rsidRPr="00A23D13">
                    <w:t>" информации о неисполнении/ненадлежащем исполнении Участником договорных обязательств по заключенным с ОАО «</w:t>
                  </w:r>
                  <w:proofErr w:type="spellStart"/>
                  <w:r w:rsidRPr="00A23D13">
                    <w:t>Тюменьэнерго</w:t>
                  </w:r>
                  <w:proofErr w:type="spellEnd"/>
                  <w:r w:rsidRPr="00A23D13">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A23D13">
                    <w:br/>
                    <w:t>м) Отсутствие сведений о предстоящем исключении контрагента из ЕГРЮЛ/ЕГРИП;</w:t>
                  </w:r>
                  <w:proofErr w:type="gramEnd"/>
                  <w:r w:rsidRPr="00A23D13">
                    <w:br/>
                    <w:t>н) Отсутствие фактов предоставления недостоверных сведений и документов в рамках закупочной процедуры;</w:t>
                  </w:r>
                  <w:r w:rsidRPr="00A23D13">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A23D13">
                    <w:br/>
                  </w:r>
                  <w:r w:rsidRPr="00A23D13">
                    <w:br/>
                    <w:t>Результат проверки благонадежности Участника закупки оформляется заключением СЭБ ОАО "</w:t>
                  </w:r>
                  <w:proofErr w:type="spellStart"/>
                  <w:r w:rsidRPr="00A23D13">
                    <w:t>Тюменьэнерго</w:t>
                  </w:r>
                  <w:proofErr w:type="spellEnd"/>
                  <w:r w:rsidRPr="00A23D13">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A23D13">
                    <w:t>Тюменьэнерго</w:t>
                  </w:r>
                  <w:proofErr w:type="spellEnd"/>
                  <w:r w:rsidRPr="00A23D13">
                    <w:t>" (СЭБ ОАО "</w:t>
                  </w:r>
                  <w:proofErr w:type="spellStart"/>
                  <w:r w:rsidRPr="00A23D13">
                    <w:t>Тюменьэнерго</w:t>
                  </w:r>
                  <w:proofErr w:type="spellEnd"/>
                  <w:r w:rsidRPr="00A23D13">
                    <w:t>").</w:t>
                  </w:r>
                  <w:r w:rsidRPr="00A23D13">
                    <w:br/>
                  </w:r>
                  <w:r w:rsidRPr="00A23D13">
                    <w:br/>
                    <w:t>- Техническое и коммерческое предложения должны соответствовать требованиям Заказчика</w:t>
                  </w:r>
                  <w:proofErr w:type="gramStart"/>
                  <w:r w:rsidRPr="00A23D13">
                    <w:br/>
                  </w:r>
                  <w:r w:rsidRPr="00A23D13">
                    <w:br/>
                  </w:r>
                  <w:r w:rsidRPr="00A23D13">
                    <w:br/>
                    <w:t>Б</w:t>
                  </w:r>
                  <w:proofErr w:type="gramEnd"/>
                  <w:r w:rsidRPr="00A23D13">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lastRenderedPageBreak/>
                    <w:t>Комплект конкурсной документации:</w:t>
                  </w:r>
                </w:p>
              </w:tc>
              <w:tc>
                <w:tcPr>
                  <w:tcW w:w="0" w:type="auto"/>
                  <w:shd w:val="clear" w:color="auto" w:fill="F7F7F7"/>
                  <w:hideMark/>
                </w:tcPr>
                <w:p w:rsidR="00A23D13" w:rsidRPr="00A23D13" w:rsidRDefault="00A23D13" w:rsidP="00A23D13">
                  <w:r w:rsidRPr="00A23D13">
                    <w:t>Конкурсную документацию Участники могут получить на Официальном сайте РФ – www.zakupki.gov.ru , на сайте Общества – www.te.ru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Конкурсная документация:</w:t>
                  </w:r>
                </w:p>
              </w:tc>
              <w:tc>
                <w:tcPr>
                  <w:tcW w:w="0" w:type="auto"/>
                  <w:hideMark/>
                </w:tcPr>
                <w:p w:rsidR="00A23D13" w:rsidRPr="00A23D13" w:rsidRDefault="00A23D13" w:rsidP="00A23D13">
                  <w:hyperlink r:id="rId14" w:tgtFrame="_blank" w:history="1">
                    <w:r w:rsidRPr="00A23D13">
                      <w:rPr>
                        <w:color w:val="1C50A4"/>
                        <w:u w:val="single"/>
                      </w:rPr>
                      <w:t>Скачать файл</w:t>
                    </w:r>
                    <w:r w:rsidRPr="00A23D13">
                      <w:rPr>
                        <w:color w:val="1C50A4"/>
                      </w:rPr>
                      <w:t> </w:t>
                    </w:r>
                    <w:r w:rsidRPr="00A23D13">
                      <w:rPr>
                        <w:b/>
                        <w:bCs/>
                        <w:color w:val="1C50A4"/>
                        <w:u w:val="single"/>
                      </w:rPr>
                      <w:t>КД.zip</w:t>
                    </w:r>
                  </w:hyperlink>
                  <w:r w:rsidRPr="00A23D13">
                    <w:t> (677 Кб)</w:t>
                  </w:r>
                </w:p>
                <w:p w:rsidR="00A23D13" w:rsidRPr="00A23D13" w:rsidRDefault="00A23D13" w:rsidP="00A23D13">
                  <w:hyperlink r:id="rId15" w:history="1">
                    <w:r w:rsidRPr="00A23D13">
                      <w:rPr>
                        <w:b/>
                        <w:bCs/>
                        <w:color w:val="1C50A4"/>
                        <w:u w:val="single"/>
                      </w:rPr>
                      <w:t>Редактировать конкурсную документацию</w:t>
                    </w:r>
                  </w:hyperlink>
                </w:p>
                <w:p w:rsidR="00A23D13" w:rsidRPr="00A23D13" w:rsidRDefault="00A23D13" w:rsidP="00A23D13">
                  <w:hyperlink r:id="rId16" w:tgtFrame="signature" w:history="1">
                    <w:r w:rsidRPr="00A23D13">
                      <w:rPr>
                        <w:color w:val="1C50A4"/>
                        <w:u w:val="single"/>
                      </w:rPr>
                      <w:t>Подписана ЭП</w:t>
                    </w:r>
                  </w:hyperlink>
                </w:p>
                <w:p w:rsidR="00A23D13" w:rsidRPr="00A23D13" w:rsidRDefault="00A23D13" w:rsidP="00A23D13">
                  <w:hyperlink r:id="rId17" w:history="1">
                    <w:r w:rsidRPr="00A23D13">
                      <w:rPr>
                        <w:color w:val="1C50A4"/>
                        <w:u w:val="single"/>
                      </w:rPr>
                      <w:t>Перевести документацию на другой язык</w:t>
                    </w:r>
                  </w:hyperlink>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Порядок предоставления конкурсной документации:</w:t>
                  </w:r>
                </w:p>
              </w:tc>
              <w:tc>
                <w:tcPr>
                  <w:tcW w:w="0" w:type="auto"/>
                  <w:shd w:val="clear" w:color="auto" w:fill="F7F7F7"/>
                  <w:hideMark/>
                </w:tcPr>
                <w:p w:rsidR="00A23D13" w:rsidRPr="00A23D13" w:rsidRDefault="00A23D13" w:rsidP="00A23D13">
                  <w:r w:rsidRPr="00A23D13">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23D13">
                    <w:t>с даты размещения</w:t>
                  </w:r>
                  <w:proofErr w:type="gramEnd"/>
                  <w:r w:rsidRPr="00A23D13">
                    <w:t xml:space="preserve"> закупки.</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Обеспечение конкурсных заявок, кроме банковских гарантий:</w:t>
                  </w:r>
                </w:p>
              </w:tc>
              <w:tc>
                <w:tcPr>
                  <w:tcW w:w="0" w:type="auto"/>
                  <w:hideMark/>
                </w:tcPr>
                <w:p w:rsidR="00A23D13" w:rsidRPr="00A23D13" w:rsidRDefault="00A23D13" w:rsidP="00A23D13">
                  <w:r w:rsidRPr="00A23D13">
                    <w:t>Обязательства Участников, связанные с подачей заявок, обеспечиваются неустойкой на сумму: 10 % от общей стоимости заявки Участника (с учетом налогов)</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Конкурсные заявки:</w:t>
                  </w:r>
                </w:p>
              </w:tc>
              <w:tc>
                <w:tcPr>
                  <w:tcW w:w="0" w:type="auto"/>
                  <w:shd w:val="clear" w:color="auto" w:fill="F7F7F7"/>
                  <w:hideMark/>
                </w:tcPr>
                <w:p w:rsidR="00A23D13" w:rsidRPr="00A23D13" w:rsidRDefault="00A23D13" w:rsidP="00A23D13">
                  <w:r w:rsidRPr="00A23D13">
                    <w:t>Все документы, входящие в Конкурсную заявку должны быть подготовлены на русском языке. Все суммы денежных сре</w:t>
                  </w:r>
                  <w:proofErr w:type="gramStart"/>
                  <w:r w:rsidRPr="00A23D13">
                    <w:t>дств в д</w:t>
                  </w:r>
                  <w:proofErr w:type="gramEnd"/>
                  <w:r w:rsidRPr="00A23D13">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При выборе победителя учитывается:</w:t>
                  </w:r>
                </w:p>
              </w:tc>
              <w:tc>
                <w:tcPr>
                  <w:tcW w:w="0" w:type="auto"/>
                  <w:hideMark/>
                </w:tcPr>
                <w:p w:rsidR="00A23D13" w:rsidRPr="00A23D13" w:rsidRDefault="00A23D13" w:rsidP="00A23D13">
                  <w:r w:rsidRPr="00A23D13">
                    <w:t>Цена с НДС</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Место вскрытия конвертов:</w:t>
                  </w:r>
                </w:p>
              </w:tc>
              <w:tc>
                <w:tcPr>
                  <w:tcW w:w="0" w:type="auto"/>
                  <w:shd w:val="clear" w:color="auto" w:fill="F7F7F7"/>
                  <w:hideMark/>
                </w:tcPr>
                <w:p w:rsidR="00A23D13" w:rsidRPr="00A23D13" w:rsidRDefault="00A23D13" w:rsidP="00A23D13">
                  <w:r w:rsidRPr="00A23D13">
                    <w:t>Вскрытие конвертов с заявками состоится на сайте системы электронных торгов группы B2B-Center (www.b2b-center.ru).</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Дата вскрытия конвертов (крайний срок подачи конкурсных заявок):</w:t>
                  </w:r>
                </w:p>
              </w:tc>
              <w:tc>
                <w:tcPr>
                  <w:tcW w:w="0" w:type="auto"/>
                  <w:hideMark/>
                </w:tcPr>
                <w:p w:rsidR="00A23D13" w:rsidRPr="00A23D13" w:rsidRDefault="00A23D13" w:rsidP="00A23D13">
                  <w:r w:rsidRPr="00A23D13">
                    <w:t>Вскрытие конвертов с заявками состоится </w:t>
                  </w:r>
                  <w:r w:rsidRPr="00A23D13">
                    <w:rPr>
                      <w:b/>
                      <w:bCs/>
                    </w:rPr>
                    <w:t>12.11.2013 в 08:00 по московскому времени</w:t>
                  </w:r>
                  <w:r w:rsidRPr="00A23D13">
                    <w:t>.</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Дата рассмотрения предложений:</w:t>
                  </w:r>
                </w:p>
              </w:tc>
              <w:tc>
                <w:tcPr>
                  <w:tcW w:w="0" w:type="auto"/>
                  <w:shd w:val="clear" w:color="auto" w:fill="F7F7F7"/>
                  <w:hideMark/>
                </w:tcPr>
                <w:p w:rsidR="00A23D13" w:rsidRPr="00A23D13" w:rsidRDefault="00A23D13" w:rsidP="00A23D13">
                  <w:r w:rsidRPr="00A23D13">
                    <w:t>02.12.2013 15:00</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Место рассмотрения предложений:</w:t>
                  </w:r>
                </w:p>
              </w:tc>
              <w:tc>
                <w:tcPr>
                  <w:tcW w:w="0" w:type="auto"/>
                  <w:hideMark/>
                </w:tcPr>
                <w:p w:rsidR="00A23D13" w:rsidRPr="00A23D13" w:rsidRDefault="00A23D13" w:rsidP="00A23D13">
                  <w:r w:rsidRPr="00A23D13">
                    <w:t>628617, ХМАО-Югра, Тюменская область, г. Нижневартовск, ул. Пермская, 22</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Дата и время подведения итогов:</w:t>
                  </w:r>
                </w:p>
              </w:tc>
              <w:tc>
                <w:tcPr>
                  <w:tcW w:w="0" w:type="auto"/>
                  <w:shd w:val="clear" w:color="auto" w:fill="F7F7F7"/>
                  <w:hideMark/>
                </w:tcPr>
                <w:p w:rsidR="00A23D13" w:rsidRPr="00A23D13" w:rsidRDefault="00A23D13" w:rsidP="00A23D13">
                  <w:r w:rsidRPr="00A23D13">
                    <w:t>12.12.2013 15:00</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Место подведения итогов:</w:t>
                  </w:r>
                </w:p>
              </w:tc>
              <w:tc>
                <w:tcPr>
                  <w:tcW w:w="0" w:type="auto"/>
                  <w:hideMark/>
                </w:tcPr>
                <w:p w:rsidR="00A23D13" w:rsidRPr="00A23D13" w:rsidRDefault="00A23D13" w:rsidP="00A23D13">
                  <w:r w:rsidRPr="00A23D13">
                    <w:t>628617, ХМАО-Югра, Тюменская область, г. Нижневартовск, ул. Пермская, 22</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Победитель конкурса:</w:t>
                  </w:r>
                </w:p>
              </w:tc>
              <w:tc>
                <w:tcPr>
                  <w:tcW w:w="0" w:type="auto"/>
                  <w:shd w:val="clear" w:color="auto" w:fill="F7F7F7"/>
                  <w:hideMark/>
                </w:tcPr>
                <w:p w:rsidR="00A23D13" w:rsidRPr="00A23D13" w:rsidRDefault="00A23D13" w:rsidP="00A23D13">
                  <w:r w:rsidRPr="00A23D13">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23D13">
                    <w:t>ранжировке</w:t>
                  </w:r>
                  <w:proofErr w:type="spellEnd"/>
                  <w:r w:rsidRPr="00A23D13">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w:t>
                  </w:r>
                  <w:r w:rsidRPr="00A23D13">
                    <w:lastRenderedPageBreak/>
                    <w:t>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lastRenderedPageBreak/>
                    <w:t>Лимитная (начальная) цена закупки:</w:t>
                  </w:r>
                </w:p>
              </w:tc>
              <w:tc>
                <w:tcPr>
                  <w:tcW w:w="0" w:type="auto"/>
                  <w:hideMark/>
                </w:tcPr>
                <w:p w:rsidR="00A23D13" w:rsidRPr="00A23D13" w:rsidRDefault="00A23D13" w:rsidP="00A23D13">
                  <w:r w:rsidRPr="00A23D13">
                    <w:t>Лот № 1. 11 711 505,05 руб. (цена с НДС)</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Переторжка (регулирование цены):</w:t>
                  </w:r>
                </w:p>
              </w:tc>
              <w:tc>
                <w:tcPr>
                  <w:tcW w:w="0" w:type="auto"/>
                  <w:shd w:val="clear" w:color="auto" w:fill="F7F7F7"/>
                  <w:hideMark/>
                </w:tcPr>
                <w:p w:rsidR="00A23D13" w:rsidRPr="00A23D13" w:rsidRDefault="00A23D13" w:rsidP="00A23D13">
                  <w:r w:rsidRPr="00A23D13">
                    <w:t>Организатор конкурса намерен воспользоваться правом на проведение переторжки (регулирования цены).</w:t>
                  </w:r>
                </w:p>
              </w:tc>
            </w:tr>
            <w:tr w:rsidR="00A23D13" w:rsidRPr="00A23D13">
              <w:trPr>
                <w:tblCellSpacing w:w="0" w:type="dxa"/>
              </w:trPr>
              <w:tc>
                <w:tcPr>
                  <w:tcW w:w="0" w:type="auto"/>
                  <w:hideMark/>
                </w:tcPr>
                <w:p w:rsidR="00A23D13" w:rsidRPr="00A23D13" w:rsidRDefault="00A23D13" w:rsidP="00A23D13">
                  <w:pPr>
                    <w:jc w:val="right"/>
                    <w:rPr>
                      <w:sz w:val="18"/>
                      <w:szCs w:val="18"/>
                    </w:rPr>
                  </w:pPr>
                  <w:r w:rsidRPr="00A23D13">
                    <w:rPr>
                      <w:sz w:val="18"/>
                      <w:szCs w:val="18"/>
                    </w:rPr>
                    <w:t>Дополнительная информация о конкурсе:</w:t>
                  </w:r>
                </w:p>
              </w:tc>
              <w:tc>
                <w:tcPr>
                  <w:tcW w:w="0" w:type="auto"/>
                  <w:hideMark/>
                </w:tcPr>
                <w:p w:rsidR="00A23D13" w:rsidRPr="00A23D13" w:rsidRDefault="00A23D13" w:rsidP="00A23D13">
                  <w:r w:rsidRPr="00A23D13">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23D13">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23D13">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23D13" w:rsidRPr="00A23D13">
              <w:trPr>
                <w:tblCellSpacing w:w="0" w:type="dxa"/>
              </w:trPr>
              <w:tc>
                <w:tcPr>
                  <w:tcW w:w="0" w:type="auto"/>
                  <w:shd w:val="clear" w:color="auto" w:fill="F7F7F7"/>
                  <w:hideMark/>
                </w:tcPr>
                <w:p w:rsidR="00A23D13" w:rsidRPr="00A23D13" w:rsidRDefault="00A23D13" w:rsidP="00A23D13">
                  <w:pPr>
                    <w:jc w:val="right"/>
                    <w:rPr>
                      <w:sz w:val="18"/>
                      <w:szCs w:val="18"/>
                    </w:rPr>
                  </w:pPr>
                  <w:r w:rsidRPr="00A23D13">
                    <w:rPr>
                      <w:sz w:val="18"/>
                      <w:szCs w:val="18"/>
                    </w:rPr>
                    <w:t>Адрес места поставки товара, проведения работ или оказания услуг:</w:t>
                  </w:r>
                </w:p>
              </w:tc>
              <w:tc>
                <w:tcPr>
                  <w:tcW w:w="0" w:type="auto"/>
                  <w:shd w:val="clear" w:color="auto" w:fill="F7F7F7"/>
                  <w:hideMark/>
                </w:tcPr>
                <w:p w:rsidR="00A23D13" w:rsidRPr="00A23D13" w:rsidRDefault="00A23D13" w:rsidP="00A23D13">
                  <w:hyperlink r:id="rId18" w:history="1">
                    <w:r w:rsidRPr="00A23D13">
                      <w:rPr>
                        <w:color w:val="1C50A4"/>
                        <w:u w:val="single"/>
                      </w:rPr>
                      <w:t>628617, Ханты-Мансийский Автономный округ - Югра, Тюменская область, г. Нижневартовск, ул. Пермская, 22</w:t>
                    </w:r>
                  </w:hyperlink>
                </w:p>
              </w:tc>
            </w:tr>
          </w:tbl>
          <w:p w:rsidR="00A23D13" w:rsidRPr="00A23D13" w:rsidRDefault="00A23D13" w:rsidP="00A23D13">
            <w:pPr>
              <w:rPr>
                <w:rFonts w:ascii="Arial" w:hAnsi="Arial" w:cs="Arial"/>
                <w:color w:val="000000"/>
                <w:sz w:val="18"/>
                <w:szCs w:val="18"/>
              </w:rPr>
            </w:pPr>
          </w:p>
        </w:tc>
      </w:tr>
    </w:tbl>
    <w:p w:rsidR="001F45A5" w:rsidRDefault="001F45A5">
      <w:bookmarkStart w:id="0" w:name="_GoBack"/>
      <w:bookmarkEnd w:id="0"/>
    </w:p>
    <w:sectPr w:rsidR="001F4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13"/>
    <w:rsid w:val="001F45A5"/>
    <w:rsid w:val="00A23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29999">
      <w:bodyDiv w:val="1"/>
      <w:marLeft w:val="0"/>
      <w:marRight w:val="0"/>
      <w:marTop w:val="0"/>
      <w:marBottom w:val="0"/>
      <w:divBdr>
        <w:top w:val="none" w:sz="0" w:space="0" w:color="auto"/>
        <w:left w:val="none" w:sz="0" w:space="0" w:color="auto"/>
        <w:bottom w:val="none" w:sz="0" w:space="0" w:color="auto"/>
        <w:right w:val="none" w:sz="0" w:space="0" w:color="auto"/>
      </w:divBdr>
      <w:divsChild>
        <w:div w:id="1756055006">
          <w:marLeft w:val="0"/>
          <w:marRight w:val="15"/>
          <w:marTop w:val="0"/>
          <w:marBottom w:val="30"/>
          <w:divBdr>
            <w:top w:val="none" w:sz="0" w:space="0" w:color="auto"/>
            <w:left w:val="none" w:sz="0" w:space="0" w:color="auto"/>
            <w:bottom w:val="none" w:sz="0" w:space="0" w:color="auto"/>
            <w:right w:val="none" w:sz="0" w:space="0" w:color="auto"/>
          </w:divBdr>
        </w:div>
        <w:div w:id="1628513374">
          <w:marLeft w:val="0"/>
          <w:marRight w:val="15"/>
          <w:marTop w:val="0"/>
          <w:marBottom w:val="30"/>
          <w:divBdr>
            <w:top w:val="none" w:sz="0" w:space="0" w:color="auto"/>
            <w:left w:val="none" w:sz="0" w:space="0" w:color="auto"/>
            <w:bottom w:val="none" w:sz="0" w:space="0" w:color="auto"/>
            <w:right w:val="none" w:sz="0" w:space="0" w:color="auto"/>
          </w:divBdr>
        </w:div>
        <w:div w:id="1022823662">
          <w:marLeft w:val="0"/>
          <w:marRight w:val="15"/>
          <w:marTop w:val="0"/>
          <w:marBottom w:val="30"/>
          <w:divBdr>
            <w:top w:val="none" w:sz="0" w:space="0" w:color="auto"/>
            <w:left w:val="none" w:sz="0" w:space="0" w:color="auto"/>
            <w:bottom w:val="none" w:sz="0" w:space="0" w:color="auto"/>
            <w:right w:val="none" w:sz="0" w:space="0" w:color="auto"/>
          </w:divBdr>
        </w:div>
        <w:div w:id="465469118">
          <w:marLeft w:val="0"/>
          <w:marRight w:val="15"/>
          <w:marTop w:val="0"/>
          <w:marBottom w:val="30"/>
          <w:divBdr>
            <w:top w:val="none" w:sz="0" w:space="0" w:color="auto"/>
            <w:left w:val="none" w:sz="0" w:space="0" w:color="auto"/>
            <w:bottom w:val="none" w:sz="0" w:space="0" w:color="auto"/>
            <w:right w:val="none" w:sz="0" w:space="0" w:color="auto"/>
          </w:divBdr>
        </w:div>
        <w:div w:id="2018340364">
          <w:marLeft w:val="0"/>
          <w:marRight w:val="15"/>
          <w:marTop w:val="0"/>
          <w:marBottom w:val="30"/>
          <w:divBdr>
            <w:top w:val="none" w:sz="0" w:space="0" w:color="auto"/>
            <w:left w:val="none" w:sz="0" w:space="0" w:color="auto"/>
            <w:bottom w:val="none" w:sz="0" w:space="0" w:color="auto"/>
            <w:right w:val="none" w:sz="0" w:space="0" w:color="auto"/>
          </w:divBdr>
        </w:div>
        <w:div w:id="1908493322">
          <w:marLeft w:val="0"/>
          <w:marRight w:val="15"/>
          <w:marTop w:val="0"/>
          <w:marBottom w:val="30"/>
          <w:divBdr>
            <w:top w:val="none" w:sz="0" w:space="0" w:color="auto"/>
            <w:left w:val="none" w:sz="0" w:space="0" w:color="auto"/>
            <w:bottom w:val="none" w:sz="0" w:space="0" w:color="auto"/>
            <w:right w:val="none" w:sz="0" w:space="0" w:color="auto"/>
          </w:divBdr>
        </w:div>
        <w:div w:id="304313463">
          <w:marLeft w:val="0"/>
          <w:marRight w:val="60"/>
          <w:marTop w:val="60"/>
          <w:marBottom w:val="60"/>
          <w:divBdr>
            <w:top w:val="none" w:sz="0" w:space="0" w:color="auto"/>
            <w:left w:val="none" w:sz="0" w:space="0" w:color="auto"/>
            <w:bottom w:val="none" w:sz="0" w:space="0" w:color="auto"/>
            <w:right w:val="none" w:sz="0" w:space="0" w:color="auto"/>
          </w:divBdr>
          <w:divsChild>
            <w:div w:id="2082411983">
              <w:marLeft w:val="0"/>
              <w:marRight w:val="0"/>
              <w:marTop w:val="0"/>
              <w:marBottom w:val="0"/>
              <w:divBdr>
                <w:top w:val="none" w:sz="0" w:space="0" w:color="auto"/>
                <w:left w:val="none" w:sz="0" w:space="0" w:color="auto"/>
                <w:bottom w:val="none" w:sz="0" w:space="0" w:color="auto"/>
                <w:right w:val="none" w:sz="0" w:space="0" w:color="auto"/>
              </w:divBdr>
            </w:div>
            <w:div w:id="681972090">
              <w:marLeft w:val="0"/>
              <w:marRight w:val="0"/>
              <w:marTop w:val="0"/>
              <w:marBottom w:val="0"/>
              <w:divBdr>
                <w:top w:val="none" w:sz="0" w:space="0" w:color="auto"/>
                <w:left w:val="none" w:sz="0" w:space="0" w:color="auto"/>
                <w:bottom w:val="none" w:sz="0" w:space="0" w:color="auto"/>
                <w:right w:val="none" w:sz="0" w:space="0" w:color="auto"/>
              </w:divBdr>
            </w:div>
          </w:divsChild>
        </w:div>
        <w:div w:id="476458136">
          <w:marLeft w:val="0"/>
          <w:marRight w:val="0"/>
          <w:marTop w:val="0"/>
          <w:marBottom w:val="0"/>
          <w:divBdr>
            <w:top w:val="none" w:sz="0" w:space="0" w:color="auto"/>
            <w:left w:val="none" w:sz="0" w:space="0" w:color="auto"/>
            <w:bottom w:val="none" w:sz="0" w:space="0" w:color="auto"/>
            <w:right w:val="none" w:sz="0" w:space="0" w:color="auto"/>
          </w:divBdr>
        </w:div>
        <w:div w:id="1557886232">
          <w:marLeft w:val="0"/>
          <w:marRight w:val="0"/>
          <w:marTop w:val="0"/>
          <w:marBottom w:val="0"/>
          <w:divBdr>
            <w:top w:val="none" w:sz="0" w:space="0" w:color="auto"/>
            <w:left w:val="none" w:sz="0" w:space="0" w:color="auto"/>
            <w:bottom w:val="none" w:sz="0" w:space="0" w:color="auto"/>
            <w:right w:val="none" w:sz="0" w:space="0" w:color="auto"/>
          </w:divBdr>
        </w:div>
        <w:div w:id="1217742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324&amp;action=send_letters" TargetMode="External"/><Relationship Id="rId13" Type="http://schemas.openxmlformats.org/officeDocument/2006/relationships/hyperlink" Target="mailto:ChernyhYN@vartanet.ru" TargetMode="External"/><Relationship Id="rId18" Type="http://schemas.openxmlformats.org/officeDocument/2006/relationships/hyperlink" Target="http://www.b2b-mrsk.ru/market/view_tender.html?id=37324" TargetMode="External"/><Relationship Id="rId3" Type="http://schemas.openxmlformats.org/officeDocument/2006/relationships/settings" Target="settings.xml"/><Relationship Id="rId7" Type="http://schemas.openxmlformats.org/officeDocument/2006/relationships/hyperlink" Target="http://www.b2b-mrsk.ru/market/view_tender.html?id=37324&amp;action=invitations" TargetMode="External"/><Relationship Id="rId12" Type="http://schemas.openxmlformats.org/officeDocument/2006/relationships/hyperlink" Target="http://www.b2b-mrsk.ru/popups/send_message.html?action=send&amp;to=125052&amp;subject=%D0%92%D0%BE%D0%BF%D1%80%D0%BE%D1%81+%D0%BF%D0%BE+%D0%BA%D0%BE%D0%BD%D0%BA%D1%83%D1%80%D1%81%D1%83+%E2%84%96+37324"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324&amp;action=signed_doc&amp;key=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7324&amp;action=explanation" TargetMode="External"/><Relationship Id="rId11" Type="http://schemas.openxmlformats.org/officeDocument/2006/relationships/hyperlink" Target="http://www.b2b-mrsk.ru/market/list_tenders.html?all=0&amp;cat_id=42320212&amp;open=1" TargetMode="External"/><Relationship Id="rId5" Type="http://schemas.openxmlformats.org/officeDocument/2006/relationships/hyperlink" Target="http://www.b2b-mrsk.ru/market/view_tender.html?id=37324&amp;show=lots" TargetMode="External"/><Relationship Id="rId15" Type="http://schemas.openxmlformats.org/officeDocument/2006/relationships/hyperlink" Target="http://www.b2b-mrsk.ru/market/edit_tender.html?id=37324&amp;action=docs" TargetMode="External"/><Relationship Id="rId10" Type="http://schemas.openxmlformats.org/officeDocument/2006/relationships/hyperlink" Target="http://www.b2b-mrsk.ru/firms/view_firm.html?id=1023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37324&amp;show=statistics" TargetMode="External"/><Relationship Id="rId14" Type="http://schemas.openxmlformats.org/officeDocument/2006/relationships/hyperlink" Target="http://www.b2b-mrsk.ru/download.html?file=file%2F6120493.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1539</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2</cp:revision>
  <dcterms:created xsi:type="dcterms:W3CDTF">2013-10-14T10:25:00Z</dcterms:created>
  <dcterms:modified xsi:type="dcterms:W3CDTF">2013-10-14T10:25:00Z</dcterms:modified>
</cp:coreProperties>
</file>