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18" w:rsidRPr="004E5F18" w:rsidRDefault="004E5F18" w:rsidP="004E5F1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4E5F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Конкурс (тендер) № 50520</w:t>
      </w:r>
      <w:r w:rsidRPr="004E5F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ремонту силовых трансформаторов 110 </w:t>
      </w:r>
      <w:proofErr w:type="spellStart"/>
      <w:r w:rsidRPr="004E5F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кВ</w:t>
      </w:r>
      <w:proofErr w:type="spellEnd"/>
      <w:r w:rsidRPr="004E5F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филиала АО "</w:t>
      </w:r>
      <w:proofErr w:type="spellStart"/>
      <w:r w:rsidRPr="004E5F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Тюменьэнерго</w:t>
      </w:r>
      <w:proofErr w:type="spellEnd"/>
      <w:r w:rsidRPr="004E5F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" Ноябрьские электрические сети </w:t>
      </w:r>
      <w:r w:rsidRPr="004E5F18">
        <w:rPr>
          <w:rFonts w:ascii="Arial" w:eastAsia="Times New Roman" w:hAnsi="Arial" w:cs="Arial"/>
          <w:b/>
          <w:bCs/>
          <w:color w:val="A0A0A0"/>
          <w:sz w:val="20"/>
          <w:szCs w:val="20"/>
          <w:lang w:eastAsia="ru-RU"/>
        </w:rPr>
        <w:t>(вскрытие конвертов 19.10.2016 в 08:30</w:t>
      </w:r>
      <w:r w:rsidRPr="004E5F18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E5F18" w:rsidRPr="004E5F18" w:rsidTr="004E5F1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4E5F18" w:rsidRPr="004E5F1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5F18" w:rsidRPr="004E5F18" w:rsidRDefault="004E5F18" w:rsidP="004E5F18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4E5F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4E5F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электрофикации</w:t>
                    </w:r>
                    <w:proofErr w:type="spellEnd"/>
                    <w:r w:rsidRPr="004E5F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"</w:t>
                    </w:r>
                    <w:proofErr w:type="spellStart"/>
                    <w:r w:rsidRPr="004E5F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4E5F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" Ноябрьские электрические </w:t>
                    </w:r>
                    <w:proofErr w:type="gramStart"/>
                    <w:r w:rsidRPr="004E5F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сети </w:t>
                    </w:r>
                  </w:hyperlink>
                  <w:r w:rsidRPr="004E5F1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</w:t>
                  </w:r>
                  <w:proofErr w:type="gramEnd"/>
                  <w:r w:rsidRPr="004E5F1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ул. Холмогорская, 25, г. Ноябрьск, Ямало-Ненецкий автономный округ, Россия, 629804, </w:t>
                  </w:r>
                  <w:r w:rsidRPr="004E5F1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4E5F1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4E5F18" w:rsidRPr="004E5F1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6"/>
                    <w:gridCol w:w="7181"/>
                  </w:tblGrid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ремонту силовых трансформаторов 110 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филиала АО "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" Ноябрьские электрические сети</w:t>
                        </w:r>
                      </w:p>
                      <w:p w:rsidR="004E5F18" w:rsidRPr="004E5F18" w:rsidRDefault="004E5F18" w:rsidP="004E5F18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</w:t>
                        </w:r>
                        <w:bookmarkStart w:id="0" w:name="_GoBack"/>
                        <w:bookmarkEnd w:id="0"/>
                        <w:r w:rsidRPr="004E5F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№ 1.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ремонту силовых трансформаторов 110 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филиала АО "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Ноябрьские электрические сети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3115161 </w:t>
                        </w:r>
                        <w:hyperlink r:id="rId6" w:history="1"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Трансформаторы силовые V габарита (мощностью до 32000 </w:t>
                          </w:r>
                          <w:proofErr w:type="spellStart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включительно, напряжением от 35 до 110 </w:t>
                          </w:r>
                          <w:proofErr w:type="spellStart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включительно) общего назначения</w:t>
                          </w:r>
                        </w:hyperlink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3115171 </w:t>
                        </w:r>
                        <w:hyperlink r:id="rId7" w:history="1"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Трансформаторы силовые VI габарита (мощностью от 32000 </w:t>
                          </w:r>
                          <w:proofErr w:type="spellStart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до 80000 </w:t>
                          </w:r>
                          <w:proofErr w:type="spellStart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включительно, напряжением от 35 до 110 </w:t>
                          </w:r>
                          <w:proofErr w:type="spellStart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включительно; мощностью до 80000 </w:t>
                          </w:r>
                          <w:proofErr w:type="spellStart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включительно, напряжением от 110 </w:t>
                          </w:r>
                          <w:proofErr w:type="spellStart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до 330 </w:t>
                          </w:r>
                          <w:proofErr w:type="spellStart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включительно) общего назначения</w:t>
                          </w:r>
                        </w:hyperlink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4521123 </w:t>
                        </w:r>
                        <w:hyperlink r:id="rId8" w:history="1"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29.09.2016 07:55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01.04.2017 - 30.09.2017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(3496) 36-23-45, </w:t>
                        </w:r>
                        <w:hyperlink r:id="rId11" w:history="1"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от 04.04.2016г. № 154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необходимыми кадровыми ресурсами: согласно приложения № 1 к техническому заданию (приложение № 1 к Конкурсной документации).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будет отклонена, в случае несоответствия установленным </w:t>
                        </w:r>
                        <w:proofErr w:type="gram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требованиям;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 должен обладать необходимыми основными машинами и механизмами: согласно приложения № 1 к техническому заданию (приложение № 1 к Конкурсной документации)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</w:t>
                        </w:r>
                        <w:proofErr w:type="gram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формуле: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СЧА</w:t>
                        </w:r>
                        <w:proofErr w:type="gram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= стр.1600-стр.1400-стр.1500,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КСВ=V/B:S/P ,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индивидуальной защиты для выполнения работ по договору;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аналогичных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предмету закупки договора (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E5F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КД_0726.zip</w:t>
                          </w:r>
                        </w:hyperlink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(20.9 МБ)</w:t>
                        </w:r>
                      </w:p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4E5F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4E5F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19.10.2016 в 08:30 по московскому времени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08.11.2016 15:00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18.11.2016 15:00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53 336 685,03 руб. (цена с НДС)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E5F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1D9FE0C" wp14:editId="2EB3FE0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4E5F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2F3CB88" wp14:editId="374B2EC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6" w:history="1">
                          <w:r w:rsidRPr="004E5F1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заявок участников» и «подведения итогов закупочной процедуры».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Телефон, факс, адрес электронной почты контактных лиц: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1.По техническим вопросам: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Донсков Иван Александрович – начальник 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СЭиРП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тел.: (3496)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36-23-77, E-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IDonskov@nes.te.ru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Шевнин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Вячеслав Александрович – зам. начальника 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СЭиРП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тел.: (3496)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36-23-26, E-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VShevnin@nes.te.ru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По сметным расчетам Пономаренко Екатерина Владимировна-инженер ПТО тел.: (3496) 36-24-15, E-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EPonomarenko@nes.te.ru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По организационным вопросам: Ахтерова Ольга Зиноновна – инженер ведущий ПТО, тел.: (3496) 36-23-45, E-</w:t>
                        </w:r>
                        <w:proofErr w:type="spell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: </w:t>
                        </w:r>
                        <w:proofErr w:type="gramStart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OAkhterova@nes.te.ru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(</w:t>
                        </w:r>
                        <w:proofErr w:type="gramEnd"/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размер одного файла не должен превышать 5 мегабайт)</w:t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4655359</w:t>
                          </w:r>
                        </w:hyperlink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46"/>
                          <w:gridCol w:w="3545"/>
                        </w:tblGrid>
                        <w:tr w:rsidR="004E5F18" w:rsidRPr="004E5F18" w:rsidTr="004E5F18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E5F18" w:rsidRPr="004E5F18" w:rsidRDefault="004E5F18" w:rsidP="004E5F1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8" w:history="1">
                                <w:r w:rsidRPr="004E5F1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E5F18" w:rsidRPr="004E5F18" w:rsidRDefault="004E5F18" w:rsidP="004E5F1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9" w:history="1">
                                <w:r w:rsidRPr="004E5F1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29.09.2016 08:00:17 (версия 1)</w:t>
                              </w:r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0" w:history="1">
                                <w:r w:rsidRPr="004E5F1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E5F18" w:rsidRPr="004E5F18" w:rsidRDefault="004E5F18" w:rsidP="004E5F1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4E5F18" w:rsidRPr="004E5F18" w:rsidRDefault="004E5F18" w:rsidP="004E5F1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4002B"/>
                                  <w:sz w:val="21"/>
                                  <w:szCs w:val="21"/>
                                  <w:lang w:eastAsia="ru-RU"/>
                                </w:rPr>
                                <w:t>Не задан</w:t>
                              </w:r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4E5F1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4E5F18" w:rsidRPr="004E5F18" w:rsidRDefault="004E5F18" w:rsidP="004E5F1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4E5F18" w:rsidRPr="004E5F18" w:rsidRDefault="004E5F18" w:rsidP="004E5F18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4E5F18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4E5F18" w:rsidRPr="004E5F18" w:rsidRDefault="004E5F18" w:rsidP="004E5F1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5" type="#_x0000_t75" style="width:1in;height:18pt" o:ole="">
                                    <v:imagedata r:id="rId21" o:title=""/>
                                  </v:shape>
                                  <w:control r:id="rId22" w:name="DefaultOcxName" w:shapeid="_x0000_i1035"/>
                                </w:object>
                              </w:r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4" type="#_x0000_t75" style="width:53.25pt;height:18pt" o:ole="">
                                    <v:imagedata r:id="rId23" o:title=""/>
                                  </v:shape>
                                  <w:control r:id="rId24" w:name="DefaultOcxName1" w:shapeid="_x0000_i1034"/>
                                </w:object>
                              </w:r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3" type="#_x0000_t75" style="width:54pt;height:22.5pt" o:ole="">
                                    <v:imagedata r:id="rId25" o:title=""/>
                                  </v:shape>
                                  <w:control r:id="rId26" w:name="DefaultOcxName2" w:shapeid="_x0000_i1033"/>
                                </w:object>
                              </w:r>
                            </w:p>
                            <w:p w:rsidR="004E5F18" w:rsidRPr="004E5F18" w:rsidRDefault="004E5F18" w:rsidP="004E5F18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4E5F18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4E5F18" w:rsidRPr="004E5F18" w:rsidRDefault="004E5F18" w:rsidP="004E5F1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E5F18" w:rsidRPr="004E5F18" w:rsidRDefault="004E5F18" w:rsidP="004E5F1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E5F1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4E5F18" w:rsidRPr="004E5F18" w:rsidRDefault="004E5F18" w:rsidP="004E5F1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E5F18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29.09.2016 07:48, </w:t>
                        </w:r>
                        <w:hyperlink r:id="rId27" w:tgtFrame="_blank" w:tooltip="Отправить личное сообщение" w:history="1">
                          <w:proofErr w:type="spellStart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E5F18" w:rsidRPr="004E5F1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5F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5F18" w:rsidRPr="004E5F18" w:rsidRDefault="004E5F18" w:rsidP="004E5F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signature" w:history="1">
                          <w:r w:rsidRPr="004E5F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E5F18" w:rsidRPr="004E5F18" w:rsidRDefault="004E5F18" w:rsidP="004E5F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E5F18" w:rsidRPr="004E5F18" w:rsidRDefault="004E5F18" w:rsidP="004E5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E4A42" w:rsidRDefault="007E4A42" w:rsidP="004E5F18">
      <w:pPr>
        <w:spacing w:after="0" w:line="240" w:lineRule="auto"/>
      </w:pPr>
    </w:p>
    <w:sectPr w:rsidR="007E4A42" w:rsidSect="004E5F1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E025E"/>
    <w:multiLevelType w:val="multilevel"/>
    <w:tmpl w:val="D994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64"/>
    <w:rsid w:val="004E5F18"/>
    <w:rsid w:val="007E4A42"/>
    <w:rsid w:val="009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8C10D-6262-497D-9C24-BD5EE666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56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350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5107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8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64521123&amp;open=1" TargetMode="External"/><Relationship Id="rId13" Type="http://schemas.openxmlformats.org/officeDocument/2006/relationships/hyperlink" Target="http://www.b2b-mrsk.ru/market/edit_tender.html?id=50520&amp;action=docs" TargetMode="External"/><Relationship Id="rId18" Type="http://schemas.openxmlformats.org/officeDocument/2006/relationships/hyperlink" Target="http://www.b2b-mrsk.ru/market/view_tender.html?id=50520&amp;zgr=get_xml" TargetMode="External"/><Relationship Id="rId26" Type="http://schemas.openxmlformats.org/officeDocument/2006/relationships/control" Target="activeX/activeX3.xm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list_tenders.html?all=0&amp;cat_id=43115171&amp;open=1" TargetMode="External"/><Relationship Id="rId12" Type="http://schemas.openxmlformats.org/officeDocument/2006/relationships/hyperlink" Target="http://www.b2b-mrsk.ru/download.html?file=file%2F98104146.zip&amp;title=%D0%9A%D0%94_0726.zip" TargetMode="External"/><Relationship Id="rId17" Type="http://schemas.openxmlformats.org/officeDocument/2006/relationships/hyperlink" Target="http://www.b2b-mrsk.ru/summaries/view_gkpz.html?id=4655359" TargetMode="External"/><Relationship Id="rId25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hyperlink" Target="https://www.b2b-center.ru/personal/payment_docs.html?type=guarantee_docs" TargetMode="External"/><Relationship Id="rId20" Type="http://schemas.openxmlformats.org/officeDocument/2006/relationships/hyperlink" Target="http://www.b2b-mrsk.ru/market/view_tender.html?id=50520&amp;zgr=add_to_queu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3115161&amp;open=1" TargetMode="External"/><Relationship Id="rId11" Type="http://schemas.openxmlformats.org/officeDocument/2006/relationships/hyperlink" Target="mailto:OAkhterova@nes.te.ru" TargetMode="External"/><Relationship Id="rId24" Type="http://schemas.openxmlformats.org/officeDocument/2006/relationships/control" Target="activeX/activeX2.xml"/><Relationship Id="rId5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5" Type="http://schemas.openxmlformats.org/officeDocument/2006/relationships/image" Target="media/image1.png"/><Relationship Id="rId23" Type="http://schemas.openxmlformats.org/officeDocument/2006/relationships/image" Target="media/image3.wmf"/><Relationship Id="rId28" Type="http://schemas.openxmlformats.org/officeDocument/2006/relationships/hyperlink" Target="http://www.b2b-mrsk.ru/market/view_tender.html?id=50520&amp;action=signed_doc&amp;key=tender" TargetMode="External"/><Relationship Id="rId10" Type="http://schemas.openxmlformats.org/officeDocument/2006/relationships/hyperlink" Target="http://www.b2b-mrsk.ru/popups/send_message.html?action=send&amp;to=312177&amp;subject=%D0%92%D0%BE%D0%BF%D1%80%D0%BE%D1%81+%D0%BF%D0%BE+%D0%BA%D0%BE%D0%BD%D0%BA%D1%83%D1%80%D1%81%D1%83+%E2%84%96+50520" TargetMode="External"/><Relationship Id="rId19" Type="http://schemas.openxmlformats.org/officeDocument/2006/relationships/hyperlink" Target="https://zakupki.gov.ru/223/purchase/private/purchase/notice-info/details.html?noticeInfoId=4989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_tender.html?id=50520&amp;action=signed_doc&amp;key=docs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popups/send_message.html?action=send&amp;to=53793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3133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2016-09-29T06:30:00Z</cp:lastPrinted>
  <dcterms:created xsi:type="dcterms:W3CDTF">2016-09-29T06:29:00Z</dcterms:created>
  <dcterms:modified xsi:type="dcterms:W3CDTF">2016-09-29T06:31:00Z</dcterms:modified>
</cp:coreProperties>
</file>