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59" w:rsidRPr="00BD0E59" w:rsidRDefault="00BD0E59" w:rsidP="00BD0E59">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BD0E59">
        <w:rPr>
          <w:rFonts w:ascii="Times New Roman" w:eastAsia="Times New Roman" w:hAnsi="Times New Roman" w:cs="Times New Roman"/>
          <w:color w:val="333333"/>
          <w:kern w:val="36"/>
          <w:sz w:val="24"/>
          <w:szCs w:val="24"/>
          <w:lang w:eastAsia="ru-RU"/>
        </w:rPr>
        <w:t>Конкурс (тендер) № 33349 </w:t>
      </w:r>
      <w:r w:rsidRPr="00BD0E59">
        <w:rPr>
          <w:rFonts w:ascii="Times New Roman" w:eastAsia="Times New Roman" w:hAnsi="Times New Roman" w:cs="Times New Roman"/>
          <w:color w:val="A0A0A0"/>
          <w:kern w:val="36"/>
          <w:sz w:val="24"/>
          <w:szCs w:val="24"/>
          <w:lang w:eastAsia="ru-RU"/>
        </w:rPr>
        <w:t>(вскрытие конвертов 14.01.2013 в 07:00)</w:t>
      </w:r>
    </w:p>
    <w:tbl>
      <w:tblPr>
        <w:tblW w:w="5000" w:type="pct"/>
        <w:tblCellSpacing w:w="0" w:type="dxa"/>
        <w:tblCellMar>
          <w:left w:w="0" w:type="dxa"/>
          <w:right w:w="0" w:type="dxa"/>
        </w:tblCellMar>
        <w:tblLook w:val="04A0"/>
      </w:tblPr>
      <w:tblGrid>
        <w:gridCol w:w="10205"/>
      </w:tblGrid>
      <w:tr w:rsidR="00BD0E59" w:rsidRPr="00BD0E59">
        <w:trPr>
          <w:tblCellSpacing w:w="0" w:type="dxa"/>
        </w:trPr>
        <w:tc>
          <w:tcPr>
            <w:tcW w:w="0" w:type="auto"/>
            <w:hideMark/>
          </w:tcPr>
          <w:p w:rsidR="00BD0E59" w:rsidRPr="00BD0E59" w:rsidRDefault="00BD0E59" w:rsidP="00BD0E59">
            <w:pPr>
              <w:shd w:val="clear" w:color="auto" w:fill="FBCB00"/>
              <w:spacing w:after="30" w:line="240" w:lineRule="auto"/>
              <w:rPr>
                <w:rFonts w:ascii="Times New Roman" w:eastAsia="Times New Roman" w:hAnsi="Times New Roman" w:cs="Times New Roman"/>
                <w:color w:val="000000"/>
                <w:sz w:val="24"/>
                <w:szCs w:val="24"/>
                <w:lang w:eastAsia="ru-RU"/>
              </w:rPr>
            </w:pPr>
            <w:r w:rsidRPr="00BD0E59">
              <w:rPr>
                <w:rFonts w:ascii="Times New Roman" w:eastAsia="Times New Roman" w:hAnsi="Times New Roman" w:cs="Times New Roman"/>
                <w:color w:val="000000"/>
                <w:sz w:val="24"/>
                <w:szCs w:val="24"/>
                <w:lang w:eastAsia="ru-RU"/>
              </w:rPr>
              <w:t>Извещение</w:t>
            </w:r>
          </w:p>
          <w:p w:rsidR="00BD0E59" w:rsidRPr="00BD0E59" w:rsidRDefault="00BD0E59" w:rsidP="00BD0E59">
            <w:pPr>
              <w:shd w:val="clear" w:color="auto" w:fill="D5DADB"/>
              <w:spacing w:after="30" w:line="240" w:lineRule="auto"/>
              <w:rPr>
                <w:rFonts w:ascii="Times New Roman" w:eastAsia="Times New Roman" w:hAnsi="Times New Roman" w:cs="Times New Roman"/>
                <w:color w:val="333333"/>
                <w:sz w:val="24"/>
                <w:szCs w:val="24"/>
                <w:lang w:eastAsia="ru-RU"/>
              </w:rPr>
            </w:pPr>
            <w:hyperlink r:id="rId4" w:history="1">
              <w:r w:rsidRPr="00BD0E59">
                <w:rPr>
                  <w:rFonts w:ascii="Times New Roman" w:eastAsia="Times New Roman" w:hAnsi="Times New Roman" w:cs="Times New Roman"/>
                  <w:color w:val="333333"/>
                  <w:sz w:val="24"/>
                  <w:szCs w:val="24"/>
                  <w:u w:val="single"/>
                  <w:bdr w:val="none" w:sz="0" w:space="0" w:color="auto" w:frame="1"/>
                  <w:lang w:eastAsia="ru-RU"/>
                </w:rPr>
                <w:t>Лоты</w:t>
              </w:r>
            </w:hyperlink>
            <w:r w:rsidRPr="00BD0E59">
              <w:rPr>
                <w:rFonts w:ascii="Times New Roman" w:eastAsia="Times New Roman" w:hAnsi="Times New Roman" w:cs="Times New Roman"/>
                <w:color w:val="333333"/>
                <w:sz w:val="24"/>
                <w:szCs w:val="24"/>
                <w:lang w:eastAsia="ru-RU"/>
              </w:rPr>
              <w:t> - 1</w:t>
            </w:r>
          </w:p>
          <w:p w:rsidR="00BD0E59" w:rsidRPr="00BD0E59" w:rsidRDefault="00BD0E59" w:rsidP="00BD0E59">
            <w:pPr>
              <w:shd w:val="clear" w:color="auto" w:fill="D5DADB"/>
              <w:spacing w:after="30" w:line="240" w:lineRule="auto"/>
              <w:rPr>
                <w:rFonts w:ascii="Times New Roman" w:eastAsia="Times New Roman" w:hAnsi="Times New Roman" w:cs="Times New Roman"/>
                <w:color w:val="333333"/>
                <w:sz w:val="24"/>
                <w:szCs w:val="24"/>
                <w:lang w:eastAsia="ru-RU"/>
              </w:rPr>
            </w:pPr>
            <w:hyperlink r:id="rId5" w:history="1">
              <w:r w:rsidRPr="00BD0E59">
                <w:rPr>
                  <w:rFonts w:ascii="Times New Roman" w:eastAsia="Times New Roman" w:hAnsi="Times New Roman" w:cs="Times New Roman"/>
                  <w:color w:val="333333"/>
                  <w:sz w:val="24"/>
                  <w:szCs w:val="24"/>
                  <w:u w:val="single"/>
                  <w:bdr w:val="none" w:sz="0" w:space="0" w:color="auto" w:frame="1"/>
                  <w:lang w:eastAsia="ru-RU"/>
                </w:rPr>
                <w:t>Запросы разъяснений</w:t>
              </w:r>
            </w:hyperlink>
            <w:r w:rsidRPr="00BD0E59">
              <w:rPr>
                <w:rFonts w:ascii="Times New Roman" w:eastAsia="Times New Roman" w:hAnsi="Times New Roman" w:cs="Times New Roman"/>
                <w:color w:val="333333"/>
                <w:sz w:val="24"/>
                <w:szCs w:val="24"/>
                <w:lang w:eastAsia="ru-RU"/>
              </w:rPr>
              <w:t> - 0</w:t>
            </w:r>
          </w:p>
          <w:p w:rsidR="00BD0E59" w:rsidRPr="00BD0E59" w:rsidRDefault="00BD0E59" w:rsidP="00BD0E59">
            <w:pPr>
              <w:shd w:val="clear" w:color="auto" w:fill="D5DADB"/>
              <w:spacing w:after="30" w:line="240" w:lineRule="auto"/>
              <w:rPr>
                <w:rFonts w:ascii="Times New Roman" w:eastAsia="Times New Roman" w:hAnsi="Times New Roman" w:cs="Times New Roman"/>
                <w:color w:val="333333"/>
                <w:sz w:val="24"/>
                <w:szCs w:val="24"/>
                <w:lang w:eastAsia="ru-RU"/>
              </w:rPr>
            </w:pPr>
            <w:hyperlink r:id="rId6" w:history="1">
              <w:r w:rsidRPr="00BD0E59">
                <w:rPr>
                  <w:rFonts w:ascii="Times New Roman" w:eastAsia="Times New Roman" w:hAnsi="Times New Roman" w:cs="Times New Roman"/>
                  <w:color w:val="333333"/>
                  <w:sz w:val="24"/>
                  <w:szCs w:val="24"/>
                  <w:u w:val="single"/>
                  <w:bdr w:val="none" w:sz="0" w:space="0" w:color="auto" w:frame="1"/>
                  <w:lang w:eastAsia="ru-RU"/>
                </w:rPr>
                <w:t>Приглашения к участию</w:t>
              </w:r>
            </w:hyperlink>
            <w:r w:rsidRPr="00BD0E59">
              <w:rPr>
                <w:rFonts w:ascii="Times New Roman" w:eastAsia="Times New Roman" w:hAnsi="Times New Roman" w:cs="Times New Roman"/>
                <w:color w:val="333333"/>
                <w:sz w:val="24"/>
                <w:szCs w:val="24"/>
                <w:lang w:eastAsia="ru-RU"/>
              </w:rPr>
              <w:t> - 0</w:t>
            </w:r>
          </w:p>
          <w:p w:rsidR="00BD0E59" w:rsidRPr="00BD0E59" w:rsidRDefault="00BD0E59" w:rsidP="00BD0E59">
            <w:pPr>
              <w:shd w:val="clear" w:color="auto" w:fill="D5DADB"/>
              <w:spacing w:after="30" w:line="240" w:lineRule="auto"/>
              <w:rPr>
                <w:rFonts w:ascii="Times New Roman" w:eastAsia="Times New Roman" w:hAnsi="Times New Roman" w:cs="Times New Roman"/>
                <w:color w:val="333333"/>
                <w:sz w:val="24"/>
                <w:szCs w:val="24"/>
                <w:lang w:eastAsia="ru-RU"/>
              </w:rPr>
            </w:pPr>
            <w:hyperlink r:id="rId7" w:history="1">
              <w:r w:rsidRPr="00BD0E59">
                <w:rPr>
                  <w:rFonts w:ascii="Times New Roman" w:eastAsia="Times New Roman" w:hAnsi="Times New Roman" w:cs="Times New Roman"/>
                  <w:color w:val="333333"/>
                  <w:sz w:val="24"/>
                  <w:szCs w:val="24"/>
                  <w:u w:val="single"/>
                  <w:bdr w:val="none" w:sz="0" w:space="0" w:color="auto" w:frame="1"/>
                  <w:lang w:eastAsia="ru-RU"/>
                </w:rPr>
                <w:t>Претенденты</w:t>
              </w:r>
            </w:hyperlink>
            <w:r w:rsidRPr="00BD0E59">
              <w:rPr>
                <w:rFonts w:ascii="Times New Roman" w:eastAsia="Times New Roman" w:hAnsi="Times New Roman" w:cs="Times New Roman"/>
                <w:color w:val="333333"/>
                <w:sz w:val="24"/>
                <w:szCs w:val="24"/>
                <w:lang w:eastAsia="ru-RU"/>
              </w:rPr>
              <w:t> - 0</w:t>
            </w:r>
          </w:p>
          <w:p w:rsidR="00BD0E59" w:rsidRPr="00BD0E59" w:rsidRDefault="00BD0E59" w:rsidP="00BD0E59">
            <w:pPr>
              <w:shd w:val="clear" w:color="auto" w:fill="D5DADB"/>
              <w:spacing w:after="30" w:line="240" w:lineRule="auto"/>
              <w:rPr>
                <w:rFonts w:ascii="Times New Roman" w:eastAsia="Times New Roman" w:hAnsi="Times New Roman" w:cs="Times New Roman"/>
                <w:color w:val="333333"/>
                <w:sz w:val="24"/>
                <w:szCs w:val="24"/>
                <w:lang w:eastAsia="ru-RU"/>
              </w:rPr>
            </w:pPr>
            <w:hyperlink r:id="rId8" w:history="1">
              <w:r w:rsidRPr="00BD0E59">
                <w:rPr>
                  <w:rFonts w:ascii="Times New Roman" w:eastAsia="Times New Roman" w:hAnsi="Times New Roman" w:cs="Times New Roman"/>
                  <w:color w:val="333333"/>
                  <w:sz w:val="24"/>
                  <w:szCs w:val="24"/>
                  <w:u w:val="single"/>
                  <w:bdr w:val="none" w:sz="0" w:space="0" w:color="auto" w:frame="1"/>
                  <w:lang w:eastAsia="ru-RU"/>
                </w:rPr>
                <w:t>Статистика посещений</w:t>
              </w:r>
            </w:hyperlink>
          </w:p>
        </w:tc>
      </w:tr>
    </w:tbl>
    <w:p w:rsidR="00BD0E59" w:rsidRPr="00BD0E59" w:rsidRDefault="00BD0E59" w:rsidP="00BD0E59">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tblPr>
      <w:tblGrid>
        <w:gridCol w:w="10383"/>
      </w:tblGrid>
      <w:tr w:rsidR="00BD0E59" w:rsidRPr="00BD0E59">
        <w:trPr>
          <w:tblCellSpacing w:w="7" w:type="dxa"/>
        </w:trPr>
        <w:tc>
          <w:tcPr>
            <w:tcW w:w="0" w:type="auto"/>
            <w:shd w:val="clear" w:color="auto" w:fill="C2C9CD"/>
            <w:tcMar>
              <w:top w:w="75" w:type="dxa"/>
              <w:left w:w="75" w:type="dxa"/>
              <w:bottom w:w="75" w:type="dxa"/>
              <w:right w:w="75" w:type="dxa"/>
            </w:tcMar>
            <w:hideMark/>
          </w:tcPr>
          <w:p w:rsidR="00BD0E59" w:rsidRPr="00BD0E59" w:rsidRDefault="00BD0E59" w:rsidP="00BD0E59">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9" w:history="1">
              <w:r w:rsidRPr="00BD0E59">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w:t>
              </w:r>
              <w:proofErr w:type="spellStart"/>
              <w:r w:rsidRPr="00BD0E59">
                <w:rPr>
                  <w:rFonts w:ascii="Times New Roman" w:eastAsia="Times New Roman" w:hAnsi="Times New Roman" w:cs="Times New Roman"/>
                  <w:b/>
                  <w:bCs/>
                  <w:color w:val="1C50A4"/>
                  <w:sz w:val="24"/>
                  <w:szCs w:val="24"/>
                  <w:lang w:eastAsia="ru-RU"/>
                </w:rPr>
                <w:t>Тюменьэнерго</w:t>
              </w:r>
              <w:proofErr w:type="spellEnd"/>
              <w:r w:rsidRPr="00BD0E59">
                <w:rPr>
                  <w:rFonts w:ascii="Times New Roman" w:eastAsia="Times New Roman" w:hAnsi="Times New Roman" w:cs="Times New Roman"/>
                  <w:b/>
                  <w:bCs/>
                  <w:color w:val="1C50A4"/>
                  <w:sz w:val="24"/>
                  <w:szCs w:val="24"/>
                  <w:lang w:eastAsia="ru-RU"/>
                </w:rPr>
                <w:t>" - "Тюменские распределительные сети"</w:t>
              </w:r>
            </w:hyperlink>
            <w:r w:rsidRPr="00BD0E59">
              <w:rPr>
                <w:rFonts w:ascii="Times New Roman" w:eastAsia="Times New Roman" w:hAnsi="Times New Roman" w:cs="Times New Roman"/>
                <w:color w:val="333333"/>
                <w:sz w:val="24"/>
                <w:szCs w:val="24"/>
                <w:lang w:eastAsia="ru-RU"/>
              </w:rPr>
              <w:t xml:space="preserve">, 625000, Тюменская обл., г. Тюмень, ул. </w:t>
            </w:r>
            <w:proofErr w:type="spellStart"/>
            <w:r w:rsidRPr="00BD0E59">
              <w:rPr>
                <w:rFonts w:ascii="Times New Roman" w:eastAsia="Times New Roman" w:hAnsi="Times New Roman" w:cs="Times New Roman"/>
                <w:color w:val="333333"/>
                <w:sz w:val="24"/>
                <w:szCs w:val="24"/>
                <w:lang w:eastAsia="ru-RU"/>
              </w:rPr>
              <w:t>Даудельная</w:t>
            </w:r>
            <w:proofErr w:type="spellEnd"/>
            <w:r w:rsidRPr="00BD0E59">
              <w:rPr>
                <w:rFonts w:ascii="Times New Roman" w:eastAsia="Times New Roman" w:hAnsi="Times New Roman" w:cs="Times New Roman"/>
                <w:color w:val="333333"/>
                <w:sz w:val="24"/>
                <w:szCs w:val="24"/>
                <w:lang w:eastAsia="ru-RU"/>
              </w:rPr>
              <w:t xml:space="preserve">, 44, </w:t>
            </w:r>
            <w:r w:rsidRPr="00BD0E59">
              <w:rPr>
                <w:rFonts w:ascii="Times New Roman" w:eastAsia="Times New Roman" w:hAnsi="Times New Roman" w:cs="Times New Roman"/>
                <w:b/>
                <w:bCs/>
                <w:color w:val="333333"/>
                <w:sz w:val="24"/>
                <w:szCs w:val="24"/>
                <w:lang w:eastAsia="ru-RU"/>
              </w:rPr>
              <w:t>приглашает принять участие в торгах (тендере)</w:t>
            </w:r>
            <w:r w:rsidRPr="00BD0E59">
              <w:rPr>
                <w:rFonts w:ascii="Times New Roman" w:eastAsia="Times New Roman" w:hAnsi="Times New Roman" w:cs="Times New Roman"/>
                <w:color w:val="333333"/>
                <w:sz w:val="24"/>
                <w:szCs w:val="24"/>
                <w:lang w:eastAsia="ru-RU"/>
              </w:rPr>
              <w:t>.</w:t>
            </w:r>
          </w:p>
        </w:tc>
      </w:tr>
      <w:tr w:rsidR="00BD0E59" w:rsidRPr="00BD0E59">
        <w:trPr>
          <w:tblCellSpacing w:w="7" w:type="dxa"/>
        </w:trPr>
        <w:tc>
          <w:tcPr>
            <w:tcW w:w="0" w:type="auto"/>
            <w:shd w:val="clear" w:color="auto" w:fill="E9E9E9"/>
            <w:hideMark/>
          </w:tcPr>
          <w:tbl>
            <w:tblPr>
              <w:tblW w:w="10281" w:type="dxa"/>
              <w:tblCellSpacing w:w="0" w:type="dxa"/>
              <w:tblCellMar>
                <w:top w:w="45" w:type="dxa"/>
                <w:left w:w="45" w:type="dxa"/>
                <w:bottom w:w="45" w:type="dxa"/>
                <w:right w:w="45" w:type="dxa"/>
              </w:tblCellMar>
              <w:tblLook w:val="04A0"/>
            </w:tblPr>
            <w:tblGrid>
              <w:gridCol w:w="2877"/>
              <w:gridCol w:w="7404"/>
            </w:tblGrid>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Предмет конкурса (тендера):</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капитального ремонта оборудования ПС 35кВ, 110 кВ Южного, </w:t>
                  </w:r>
                  <w:proofErr w:type="spellStart"/>
                  <w:r w:rsidRPr="00BD0E59">
                    <w:rPr>
                      <w:rFonts w:ascii="Times New Roman" w:eastAsia="Times New Roman" w:hAnsi="Times New Roman" w:cs="Times New Roman"/>
                      <w:sz w:val="24"/>
                      <w:szCs w:val="24"/>
                      <w:lang w:eastAsia="ru-RU"/>
                    </w:rPr>
                    <w:t>Ишимского</w:t>
                  </w:r>
                  <w:proofErr w:type="spellEnd"/>
                  <w:r w:rsidRPr="00BD0E59">
                    <w:rPr>
                      <w:rFonts w:ascii="Times New Roman" w:eastAsia="Times New Roman" w:hAnsi="Times New Roman" w:cs="Times New Roman"/>
                      <w:sz w:val="24"/>
                      <w:szCs w:val="24"/>
                      <w:lang w:eastAsia="ru-RU"/>
                    </w:rPr>
                    <w:t xml:space="preserve"> и </w:t>
                  </w:r>
                  <w:proofErr w:type="spellStart"/>
                  <w:r w:rsidRPr="00BD0E59">
                    <w:rPr>
                      <w:rFonts w:ascii="Times New Roman" w:eastAsia="Times New Roman" w:hAnsi="Times New Roman" w:cs="Times New Roman"/>
                      <w:sz w:val="24"/>
                      <w:szCs w:val="24"/>
                      <w:lang w:eastAsia="ru-RU"/>
                    </w:rPr>
                    <w:t>Тобольского</w:t>
                  </w:r>
                  <w:proofErr w:type="spellEnd"/>
                  <w:r w:rsidRPr="00BD0E59">
                    <w:rPr>
                      <w:rFonts w:ascii="Times New Roman" w:eastAsia="Times New Roman" w:hAnsi="Times New Roman" w:cs="Times New Roman"/>
                      <w:sz w:val="24"/>
                      <w:szCs w:val="24"/>
                      <w:lang w:eastAsia="ru-RU"/>
                    </w:rPr>
                    <w:t xml:space="preserve"> территориально - производственного отделения филиала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 - «Тюменские распределительные сети»</w:t>
                  </w:r>
                  <w:r w:rsidRPr="00BD0E59">
                    <w:rPr>
                      <w:rFonts w:ascii="Times New Roman" w:eastAsia="Times New Roman" w:hAnsi="Times New Roman" w:cs="Times New Roman"/>
                      <w:sz w:val="24"/>
                      <w:szCs w:val="24"/>
                      <w:lang w:eastAsia="ru-RU"/>
                    </w:rPr>
                    <w:br/>
                  </w:r>
                  <w:r w:rsidRPr="00BD0E59">
                    <w:rPr>
                      <w:rFonts w:ascii="Times New Roman" w:eastAsia="Times New Roman" w:hAnsi="Times New Roman" w:cs="Times New Roman"/>
                      <w:b/>
                      <w:bCs/>
                      <w:sz w:val="24"/>
                      <w:szCs w:val="24"/>
                      <w:lang w:eastAsia="ru-RU"/>
                    </w:rPr>
                    <w:t>Лот № 1.</w:t>
                  </w:r>
                  <w:r w:rsidRPr="00BD0E59">
                    <w:rPr>
                      <w:rFonts w:ascii="Times New Roman" w:eastAsia="Times New Roman" w:hAnsi="Times New Roman" w:cs="Times New Roman"/>
                      <w:sz w:val="24"/>
                      <w:szCs w:val="24"/>
                      <w:lang w:eastAsia="ru-RU"/>
                    </w:rPr>
                    <w:t xml:space="preserve"> Капитальный ремонт оборудования ПС 35кВ, 110 кВ Южного, </w:t>
                  </w:r>
                  <w:proofErr w:type="spellStart"/>
                  <w:r w:rsidRPr="00BD0E59">
                    <w:rPr>
                      <w:rFonts w:ascii="Times New Roman" w:eastAsia="Times New Roman" w:hAnsi="Times New Roman" w:cs="Times New Roman"/>
                      <w:sz w:val="24"/>
                      <w:szCs w:val="24"/>
                      <w:lang w:eastAsia="ru-RU"/>
                    </w:rPr>
                    <w:t>Ишимского</w:t>
                  </w:r>
                  <w:proofErr w:type="spellEnd"/>
                  <w:r w:rsidRPr="00BD0E59">
                    <w:rPr>
                      <w:rFonts w:ascii="Times New Roman" w:eastAsia="Times New Roman" w:hAnsi="Times New Roman" w:cs="Times New Roman"/>
                      <w:sz w:val="24"/>
                      <w:szCs w:val="24"/>
                      <w:lang w:eastAsia="ru-RU"/>
                    </w:rPr>
                    <w:t xml:space="preserve"> и </w:t>
                  </w:r>
                  <w:proofErr w:type="spellStart"/>
                  <w:r w:rsidRPr="00BD0E59">
                    <w:rPr>
                      <w:rFonts w:ascii="Times New Roman" w:eastAsia="Times New Roman" w:hAnsi="Times New Roman" w:cs="Times New Roman"/>
                      <w:sz w:val="24"/>
                      <w:szCs w:val="24"/>
                      <w:lang w:eastAsia="ru-RU"/>
                    </w:rPr>
                    <w:t>Тобольского</w:t>
                  </w:r>
                  <w:proofErr w:type="spellEnd"/>
                  <w:r w:rsidRPr="00BD0E59">
                    <w:rPr>
                      <w:rFonts w:ascii="Times New Roman" w:eastAsia="Times New Roman" w:hAnsi="Times New Roman" w:cs="Times New Roman"/>
                      <w:sz w:val="24"/>
                      <w:szCs w:val="24"/>
                      <w:lang w:eastAsia="ru-RU"/>
                    </w:rPr>
                    <w:t xml:space="preserve"> территориально - производственного отделения филиала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 - «Тюменские распределительные сети»</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Категории ОКДП:</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4521123 </w:t>
                  </w:r>
                  <w:hyperlink r:id="rId10" w:history="1">
                    <w:r w:rsidRPr="00BD0E59">
                      <w:rPr>
                        <w:rFonts w:ascii="Times New Roman" w:eastAsia="Times New Roman" w:hAnsi="Times New Roman" w:cs="Times New Roman"/>
                        <w:color w:val="1C50A4"/>
                        <w:sz w:val="24"/>
                        <w:szCs w:val="24"/>
                        <w:lang w:eastAsia="ru-RU"/>
                      </w:rPr>
                      <w:t>Подстанция электрическая</w:t>
                    </w:r>
                  </w:hyperlink>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Конкурс (тендер) объявлен:</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12.12.2012 13:16</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Сроки поставки:</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b/>
                      <w:bCs/>
                      <w:sz w:val="24"/>
                      <w:szCs w:val="24"/>
                      <w:lang w:eastAsia="ru-RU"/>
                    </w:rPr>
                    <w:t>1.03.2013 - 31.10.2013</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Почтовый адрес заказчика:</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625000, Тюменская обл., г. Тюмень, ул. </w:t>
                  </w:r>
                  <w:proofErr w:type="spellStart"/>
                  <w:r w:rsidRPr="00BD0E59">
                    <w:rPr>
                      <w:rFonts w:ascii="Times New Roman" w:eastAsia="Times New Roman" w:hAnsi="Times New Roman" w:cs="Times New Roman"/>
                      <w:sz w:val="24"/>
                      <w:szCs w:val="24"/>
                      <w:lang w:eastAsia="ru-RU"/>
                    </w:rPr>
                    <w:t>Даудельная</w:t>
                  </w:r>
                  <w:proofErr w:type="spellEnd"/>
                  <w:r w:rsidRPr="00BD0E59">
                    <w:rPr>
                      <w:rFonts w:ascii="Times New Roman" w:eastAsia="Times New Roman" w:hAnsi="Times New Roman" w:cs="Times New Roman"/>
                      <w:sz w:val="24"/>
                      <w:szCs w:val="24"/>
                      <w:lang w:eastAsia="ru-RU"/>
                    </w:rPr>
                    <w:t>, 44</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Местонахождение заказчика:</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625000, Тюменская обл., г. Тюмень, ул. </w:t>
                  </w:r>
                  <w:proofErr w:type="spellStart"/>
                  <w:r w:rsidRPr="00BD0E59">
                    <w:rPr>
                      <w:rFonts w:ascii="Times New Roman" w:eastAsia="Times New Roman" w:hAnsi="Times New Roman" w:cs="Times New Roman"/>
                      <w:sz w:val="24"/>
                      <w:szCs w:val="24"/>
                      <w:lang w:eastAsia="ru-RU"/>
                    </w:rPr>
                    <w:t>Даудельная</w:t>
                  </w:r>
                  <w:proofErr w:type="spellEnd"/>
                  <w:r w:rsidRPr="00BD0E59">
                    <w:rPr>
                      <w:rFonts w:ascii="Times New Roman" w:eastAsia="Times New Roman" w:hAnsi="Times New Roman" w:cs="Times New Roman"/>
                      <w:sz w:val="24"/>
                      <w:szCs w:val="24"/>
                      <w:lang w:eastAsia="ru-RU"/>
                    </w:rPr>
                    <w:t>, 44</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Контактное лицо:</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BD0E59">
                      <w:rPr>
                        <w:rFonts w:ascii="Times New Roman" w:eastAsia="Times New Roman" w:hAnsi="Times New Roman" w:cs="Times New Roman"/>
                        <w:color w:val="1C50A4"/>
                        <w:sz w:val="24"/>
                        <w:szCs w:val="24"/>
                        <w:lang w:eastAsia="ru-RU"/>
                      </w:rPr>
                      <w:t>Савченко Юлия Васильевна</w:t>
                    </w:r>
                  </w:hyperlink>
                  <w:r w:rsidRPr="00BD0E59">
                    <w:rPr>
                      <w:rFonts w:ascii="Times New Roman" w:eastAsia="Times New Roman" w:hAnsi="Times New Roman" w:cs="Times New Roman"/>
                      <w:sz w:val="24"/>
                      <w:szCs w:val="24"/>
                      <w:lang w:eastAsia="ru-RU"/>
                    </w:rPr>
                    <w:t xml:space="preserve">, тел.+7 (3452) 59-64-53, </w:t>
                  </w:r>
                  <w:hyperlink r:id="rId12" w:history="1">
                    <w:r w:rsidRPr="00BD0E59">
                      <w:rPr>
                        <w:rFonts w:ascii="Times New Roman" w:eastAsia="Times New Roman" w:hAnsi="Times New Roman" w:cs="Times New Roman"/>
                        <w:color w:val="1C50A4"/>
                        <w:sz w:val="24"/>
                        <w:szCs w:val="24"/>
                        <w:lang w:eastAsia="ru-RU"/>
                      </w:rPr>
                      <w:t>savchenko@tumes.te.ru</w:t>
                    </w:r>
                  </w:hyperlink>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Конкурсная комиссия:</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proofErr w:type="gramStart"/>
                  <w:r w:rsidRPr="00BD0E59">
                    <w:rPr>
                      <w:rFonts w:ascii="Times New Roman" w:eastAsia="Times New Roman" w:hAnsi="Times New Roman" w:cs="Times New Roman"/>
                      <w:sz w:val="24"/>
                      <w:szCs w:val="24"/>
                      <w:lang w:eastAsia="ru-RU"/>
                    </w:rPr>
                    <w:t>Назначена</w:t>
                  </w:r>
                  <w:proofErr w:type="gramEnd"/>
                  <w:r w:rsidRPr="00BD0E59">
                    <w:rPr>
                      <w:rFonts w:ascii="Times New Roman" w:eastAsia="Times New Roman" w:hAnsi="Times New Roman" w:cs="Times New Roman"/>
                      <w:sz w:val="24"/>
                      <w:szCs w:val="24"/>
                      <w:lang w:eastAsia="ru-RU"/>
                    </w:rPr>
                    <w:t xml:space="preserve"> приказом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 от 28.11.2012 № 442.</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Требования к участникам:</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BD0E59">
                    <w:rPr>
                      <w:rFonts w:ascii="Times New Roman" w:eastAsia="Times New Roman" w:hAnsi="Times New Roman" w:cs="Times New Roman"/>
                      <w:sz w:val="24"/>
                      <w:szCs w:val="24"/>
                      <w:lang w:eastAsia="ru-RU"/>
                    </w:rPr>
                    <w:br/>
                    <w:t>- Участник конкурса должен обладать гражданской правоспособностью в полном объеме для заключения и исполнения Договора;</w:t>
                  </w:r>
                  <w:proofErr w:type="gramStart"/>
                  <w:r w:rsidRPr="00BD0E59">
                    <w:rPr>
                      <w:rFonts w:ascii="Times New Roman" w:eastAsia="Times New Roman" w:hAnsi="Times New Roman" w:cs="Times New Roman"/>
                      <w:sz w:val="24"/>
                      <w:szCs w:val="24"/>
                      <w:lang w:eastAsia="ru-RU"/>
                    </w:rPr>
                    <w:br/>
                    <w:t>-</w:t>
                  </w:r>
                  <w:proofErr w:type="gramEnd"/>
                  <w:r w:rsidRPr="00BD0E59">
                    <w:rPr>
                      <w:rFonts w:ascii="Times New Roman" w:eastAsia="Times New Roman" w:hAnsi="Times New Roman" w:cs="Times New Roman"/>
                      <w:sz w:val="24"/>
                      <w:szCs w:val="24"/>
                      <w:lang w:eastAsia="ru-RU"/>
                    </w:rPr>
                    <w:t>Участник должен обладать необходимыми кадровыми ресурсами в соответствии с п. 32.3. Информационной карты Конкурсной документации;</w:t>
                  </w:r>
                  <w:r w:rsidRPr="00BD0E59">
                    <w:rPr>
                      <w:rFonts w:ascii="Times New Roman" w:eastAsia="Times New Roman" w:hAnsi="Times New Roman" w:cs="Times New Roman"/>
                      <w:sz w:val="24"/>
                      <w:szCs w:val="24"/>
                      <w:lang w:eastAsia="ru-RU"/>
                    </w:rPr>
                    <w:br/>
                    <w:t>- Участник должен обладать необходимыми материально-техническими ресурсами в соответствии с п. 32.4. Информационной карты Конкурсной документации;</w:t>
                  </w:r>
                  <w:r w:rsidRPr="00BD0E59">
                    <w:rPr>
                      <w:rFonts w:ascii="Times New Roman" w:eastAsia="Times New Roman" w:hAnsi="Times New Roman" w:cs="Times New Roman"/>
                      <w:sz w:val="24"/>
                      <w:szCs w:val="24"/>
                      <w:lang w:eastAsia="ru-RU"/>
                    </w:rPr>
                    <w:br/>
                    <w:t>- Участнику конкурса желательно иметь опыт выполнения аналогичных договоров (не менее 2 лет) сопоставимых с предметом закупки объемах и положительную репутацию, подтвержденную отзывами о выполнении аналогичных договоров;</w:t>
                  </w:r>
                  <w:r w:rsidRPr="00BD0E59">
                    <w:rPr>
                      <w:rFonts w:ascii="Times New Roman" w:eastAsia="Times New Roman" w:hAnsi="Times New Roman" w:cs="Times New Roman"/>
                      <w:sz w:val="24"/>
                      <w:szCs w:val="24"/>
                      <w:lang w:eastAsia="ru-RU"/>
                    </w:rPr>
                    <w:br/>
                    <w:t xml:space="preserve">- </w:t>
                  </w:r>
                  <w:proofErr w:type="gramStart"/>
                  <w:r w:rsidRPr="00BD0E59">
                    <w:rPr>
                      <w:rFonts w:ascii="Times New Roman" w:eastAsia="Times New Roman" w:hAnsi="Times New Roman" w:cs="Times New Roman"/>
                      <w:sz w:val="24"/>
                      <w:szCs w:val="24"/>
                      <w:lang w:eastAsia="ru-RU"/>
                    </w:rPr>
                    <w:t xml:space="preserve">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w:t>
                  </w:r>
                  <w:r w:rsidRPr="00BD0E59">
                    <w:rPr>
                      <w:rFonts w:ascii="Times New Roman" w:eastAsia="Times New Roman" w:hAnsi="Times New Roman" w:cs="Times New Roman"/>
                      <w:sz w:val="24"/>
                      <w:szCs w:val="24"/>
                      <w:lang w:eastAsia="ru-RU"/>
                    </w:rPr>
                    <w:lastRenderedPageBreak/>
                    <w:t>арест, экономическая деятельность Участника не должна быть приостановлена;</w:t>
                  </w:r>
                  <w:r w:rsidRPr="00BD0E59">
                    <w:rPr>
                      <w:rFonts w:ascii="Times New Roman" w:eastAsia="Times New Roman" w:hAnsi="Times New Roman" w:cs="Times New Roman"/>
                      <w:sz w:val="24"/>
                      <w:szCs w:val="24"/>
                      <w:lang w:eastAsia="ru-RU"/>
                    </w:rPr>
                    <w:br/>
                    <w:t>- Участник конкурса должен дать согласие на проведение проверки благонадежности Службой экономической безопасности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 (СЭБ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w:t>
                  </w:r>
                  <w:proofErr w:type="gramEnd"/>
                  <w:r w:rsidRPr="00BD0E59">
                    <w:rPr>
                      <w:rFonts w:ascii="Times New Roman" w:eastAsia="Times New Roman" w:hAnsi="Times New Roman" w:cs="Times New Roman"/>
                      <w:sz w:val="24"/>
                      <w:szCs w:val="2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BD0E59">
                    <w:rPr>
                      <w:rFonts w:ascii="Times New Roman" w:eastAsia="Times New Roman" w:hAnsi="Times New Roman" w:cs="Times New Roman"/>
                      <w:sz w:val="24"/>
                      <w:szCs w:val="24"/>
                      <w:lang w:eastAsia="ru-RU"/>
                    </w:rPr>
                    <w:br/>
                    <w:t xml:space="preserve">- Участник конкурса не должен быть </w:t>
                  </w:r>
                  <w:proofErr w:type="spellStart"/>
                  <w:r w:rsidRPr="00BD0E59">
                    <w:rPr>
                      <w:rFonts w:ascii="Times New Roman" w:eastAsia="Times New Roman" w:hAnsi="Times New Roman" w:cs="Times New Roman"/>
                      <w:sz w:val="24"/>
                      <w:szCs w:val="24"/>
                      <w:lang w:eastAsia="ru-RU"/>
                    </w:rPr>
                    <w:t>аффилированным</w:t>
                  </w:r>
                  <w:proofErr w:type="spellEnd"/>
                  <w:r w:rsidRPr="00BD0E59">
                    <w:rPr>
                      <w:rFonts w:ascii="Times New Roman" w:eastAsia="Times New Roman" w:hAnsi="Times New Roman" w:cs="Times New Roman"/>
                      <w:sz w:val="24"/>
                      <w:szCs w:val="24"/>
                      <w:lang w:eastAsia="ru-RU"/>
                    </w:rPr>
                    <w:t xml:space="preserve"> с Организатором (Заказчиком);</w:t>
                  </w:r>
                  <w:r w:rsidRPr="00BD0E59">
                    <w:rPr>
                      <w:rFonts w:ascii="Times New Roman" w:eastAsia="Times New Roman" w:hAnsi="Times New Roman" w:cs="Times New Roman"/>
                      <w:sz w:val="24"/>
                      <w:szCs w:val="24"/>
                      <w:lang w:eastAsia="ru-RU"/>
                    </w:rPr>
                    <w:br/>
                    <w:t xml:space="preserve">- Участник не должен быть </w:t>
                  </w:r>
                  <w:proofErr w:type="spellStart"/>
                  <w:r w:rsidRPr="00BD0E59">
                    <w:rPr>
                      <w:rFonts w:ascii="Times New Roman" w:eastAsia="Times New Roman" w:hAnsi="Times New Roman" w:cs="Times New Roman"/>
                      <w:sz w:val="24"/>
                      <w:szCs w:val="24"/>
                      <w:lang w:eastAsia="ru-RU"/>
                    </w:rPr>
                    <w:t>аффилированным</w:t>
                  </w:r>
                  <w:proofErr w:type="spellEnd"/>
                  <w:r w:rsidRPr="00BD0E59">
                    <w:rPr>
                      <w:rFonts w:ascii="Times New Roman" w:eastAsia="Times New Roman" w:hAnsi="Times New Roman" w:cs="Times New Roman"/>
                      <w:sz w:val="24"/>
                      <w:szCs w:val="24"/>
                      <w:lang w:eastAsia="ru-RU"/>
                    </w:rPr>
                    <w:t xml:space="preserve"> к другим Участникам;</w:t>
                  </w:r>
                  <w:r w:rsidRPr="00BD0E59">
                    <w:rPr>
                      <w:rFonts w:ascii="Times New Roman" w:eastAsia="Times New Roman" w:hAnsi="Times New Roman" w:cs="Times New Roman"/>
                      <w:sz w:val="24"/>
                      <w:szCs w:val="24"/>
                      <w:lang w:eastAsia="ru-RU"/>
                    </w:rPr>
                    <w:br/>
                    <w:t xml:space="preserve">- </w:t>
                  </w:r>
                  <w:proofErr w:type="gramStart"/>
                  <w:r w:rsidRPr="00BD0E59">
                    <w:rPr>
                      <w:rFonts w:ascii="Times New Roman" w:eastAsia="Times New Roman" w:hAnsi="Times New Roman" w:cs="Times New Roman"/>
                      <w:sz w:val="24"/>
                      <w:szCs w:val="2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D0E59">
                    <w:rPr>
                      <w:rFonts w:ascii="Times New Roman" w:eastAsia="Times New Roman" w:hAnsi="Times New Roman" w:cs="Times New Roman"/>
                      <w:sz w:val="24"/>
                      <w:szCs w:val="24"/>
                      <w:lang w:eastAsia="ru-RU"/>
                    </w:rPr>
                    <w:t xml:space="preserve"> нужд";</w:t>
                  </w:r>
                  <w:r w:rsidRPr="00BD0E59">
                    <w:rPr>
                      <w:rFonts w:ascii="Times New Roman" w:eastAsia="Times New Roman" w:hAnsi="Times New Roman" w:cs="Times New Roman"/>
                      <w:sz w:val="24"/>
                      <w:szCs w:val="24"/>
                      <w:lang w:eastAsia="ru-RU"/>
                    </w:rPr>
                    <w:br/>
                    <w:t>- Отсутствие признанных Участником, как полностью, так и частично претензий (полученных как со стороны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w:t>
                  </w:r>
                  <w:proofErr w:type="spellStart"/>
                  <w:r w:rsidRPr="00BD0E59">
                    <w:rPr>
                      <w:rFonts w:ascii="Times New Roman" w:eastAsia="Times New Roman" w:hAnsi="Times New Roman" w:cs="Times New Roman"/>
                      <w:sz w:val="24"/>
                      <w:szCs w:val="24"/>
                      <w:lang w:eastAsia="ru-RU"/>
                    </w:rPr>
                    <w:t>Тюменьэнерго</w:t>
                  </w:r>
                  <w:proofErr w:type="spellEnd"/>
                  <w:r w:rsidRPr="00BD0E59">
                    <w:rPr>
                      <w:rFonts w:ascii="Times New Roman" w:eastAsia="Times New Roman" w:hAnsi="Times New Roman" w:cs="Times New Roman"/>
                      <w:sz w:val="24"/>
                      <w:szCs w:val="2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D0E59">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BD0E59">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lastRenderedPageBreak/>
                    <w:t>Комплект конкурсной документации:</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http://www.b2b-MRSK.ru/</w:t>
                  </w:r>
                  <w:r w:rsidRPr="00BD0E59">
                    <w:rPr>
                      <w:rFonts w:ascii="Times New Roman" w:eastAsia="Times New Roman" w:hAnsi="Times New Roman" w:cs="Times New Roman"/>
                      <w:sz w:val="24"/>
                      <w:szCs w:val="24"/>
                      <w:lang w:eastAsia="ru-RU"/>
                    </w:rPr>
                    <w:br/>
                    <w:t xml:space="preserve">Информация о закупке также размещена </w:t>
                  </w:r>
                  <w:r w:rsidRPr="00BD0E59">
                    <w:rPr>
                      <w:rFonts w:ascii="Times New Roman" w:eastAsia="Times New Roman" w:hAnsi="Times New Roman" w:cs="Times New Roman"/>
                      <w:sz w:val="24"/>
                      <w:szCs w:val="24"/>
                      <w:lang w:eastAsia="ru-RU"/>
                    </w:rPr>
                    <w:br/>
                    <w:t xml:space="preserve">Официальный сайт РФ – </w:t>
                  </w:r>
                  <w:proofErr w:type="spellStart"/>
                  <w:r w:rsidRPr="00BD0E59">
                    <w:rPr>
                      <w:rFonts w:ascii="Times New Roman" w:eastAsia="Times New Roman" w:hAnsi="Times New Roman" w:cs="Times New Roman"/>
                      <w:sz w:val="24"/>
                      <w:szCs w:val="24"/>
                      <w:lang w:eastAsia="ru-RU"/>
                    </w:rPr>
                    <w:t>www.zakupki.gov.ru</w:t>
                  </w:r>
                  <w:proofErr w:type="spellEnd"/>
                  <w:r w:rsidRPr="00BD0E59">
                    <w:rPr>
                      <w:rFonts w:ascii="Times New Roman" w:eastAsia="Times New Roman" w:hAnsi="Times New Roman" w:cs="Times New Roman"/>
                      <w:sz w:val="24"/>
                      <w:szCs w:val="24"/>
                      <w:lang w:eastAsia="ru-RU"/>
                    </w:rPr>
                    <w:t xml:space="preserve"> </w:t>
                  </w:r>
                  <w:r w:rsidRPr="00BD0E59">
                    <w:rPr>
                      <w:rFonts w:ascii="Times New Roman" w:eastAsia="Times New Roman" w:hAnsi="Times New Roman" w:cs="Times New Roman"/>
                      <w:sz w:val="24"/>
                      <w:szCs w:val="24"/>
                      <w:lang w:eastAsia="ru-RU"/>
                    </w:rPr>
                    <w:br/>
                    <w:t>Дополнительный источник опубликования: Сайт Общества –</w:t>
                  </w:r>
                  <w:r w:rsidRPr="00BD0E59">
                    <w:rPr>
                      <w:rFonts w:ascii="Times New Roman" w:eastAsia="Times New Roman" w:hAnsi="Times New Roman" w:cs="Times New Roman"/>
                      <w:sz w:val="24"/>
                      <w:szCs w:val="24"/>
                      <w:lang w:eastAsia="ru-RU"/>
                    </w:rPr>
                    <w:br/>
                  </w:r>
                  <w:proofErr w:type="spellStart"/>
                  <w:r w:rsidRPr="00BD0E59">
                    <w:rPr>
                      <w:rFonts w:ascii="Times New Roman" w:eastAsia="Times New Roman" w:hAnsi="Times New Roman" w:cs="Times New Roman"/>
                      <w:sz w:val="24"/>
                      <w:szCs w:val="24"/>
                      <w:lang w:eastAsia="ru-RU"/>
                    </w:rPr>
                    <w:t>www.te.ru</w:t>
                  </w:r>
                  <w:proofErr w:type="spellEnd"/>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Конкурсная документация:</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hyperlink r:id="rId13" w:tgtFrame="_blank" w:history="1">
                    <w:r w:rsidRPr="00BD0E59">
                      <w:rPr>
                        <w:rFonts w:ascii="Times New Roman" w:eastAsia="Times New Roman" w:hAnsi="Times New Roman" w:cs="Times New Roman"/>
                        <w:color w:val="1C50A4"/>
                        <w:sz w:val="24"/>
                        <w:szCs w:val="24"/>
                        <w:lang w:eastAsia="ru-RU"/>
                      </w:rPr>
                      <w:t xml:space="preserve">Скачать файл </w:t>
                    </w:r>
                    <w:r w:rsidRPr="00BD0E59">
                      <w:rPr>
                        <w:rFonts w:ascii="Times New Roman" w:eastAsia="Times New Roman" w:hAnsi="Times New Roman" w:cs="Times New Roman"/>
                        <w:b/>
                        <w:bCs/>
                        <w:color w:val="1C50A4"/>
                        <w:sz w:val="24"/>
                        <w:szCs w:val="24"/>
                        <w:lang w:eastAsia="ru-RU"/>
                      </w:rPr>
                      <w:t>259_КД.zip</w:t>
                    </w:r>
                  </w:hyperlink>
                  <w:r w:rsidRPr="00BD0E59">
                    <w:rPr>
                      <w:rFonts w:ascii="Times New Roman" w:eastAsia="Times New Roman" w:hAnsi="Times New Roman" w:cs="Times New Roman"/>
                      <w:sz w:val="24"/>
                      <w:szCs w:val="24"/>
                      <w:lang w:eastAsia="ru-RU"/>
                    </w:rPr>
                    <w:t> (43.6 Мб)</w:t>
                  </w:r>
                </w:p>
                <w:p w:rsidR="00BD0E59" w:rsidRPr="00BD0E59" w:rsidRDefault="00BD0E59" w:rsidP="00BD0E59">
                  <w:pPr>
                    <w:spacing w:after="0" w:line="240" w:lineRule="auto"/>
                    <w:rPr>
                      <w:rFonts w:ascii="Times New Roman" w:eastAsia="Times New Roman" w:hAnsi="Times New Roman" w:cs="Times New Roman"/>
                      <w:sz w:val="24"/>
                      <w:szCs w:val="24"/>
                      <w:lang w:eastAsia="ru-RU"/>
                    </w:rPr>
                  </w:pPr>
                  <w:hyperlink r:id="rId14" w:history="1">
                    <w:r w:rsidRPr="00BD0E59">
                      <w:rPr>
                        <w:rFonts w:ascii="Times New Roman" w:eastAsia="Times New Roman" w:hAnsi="Times New Roman" w:cs="Times New Roman"/>
                        <w:b/>
                        <w:bCs/>
                        <w:color w:val="1C50A4"/>
                        <w:sz w:val="24"/>
                        <w:szCs w:val="24"/>
                        <w:lang w:eastAsia="ru-RU"/>
                      </w:rPr>
                      <w:t>Редактировать конкурсную документацию</w:t>
                    </w:r>
                  </w:hyperlink>
                  <w:r w:rsidRPr="00BD0E59">
                    <w:rPr>
                      <w:rFonts w:ascii="Times New Roman" w:eastAsia="Times New Roman" w:hAnsi="Times New Roman" w:cs="Times New Roman"/>
                      <w:sz w:val="24"/>
                      <w:szCs w:val="24"/>
                      <w:lang w:eastAsia="ru-RU"/>
                    </w:rPr>
                    <w:t xml:space="preserve"> </w:t>
                  </w:r>
                </w:p>
                <w:p w:rsidR="00BD0E59" w:rsidRPr="00BD0E59" w:rsidRDefault="00BD0E59" w:rsidP="00BD0E59">
                  <w:pPr>
                    <w:spacing w:after="0" w:line="240" w:lineRule="auto"/>
                    <w:rPr>
                      <w:rFonts w:ascii="Times New Roman" w:eastAsia="Times New Roman" w:hAnsi="Times New Roman" w:cs="Times New Roman"/>
                      <w:sz w:val="24"/>
                      <w:szCs w:val="24"/>
                      <w:lang w:eastAsia="ru-RU"/>
                    </w:rPr>
                  </w:pPr>
                  <w:hyperlink r:id="rId15" w:tgtFrame="signature" w:history="1">
                    <w:r w:rsidRPr="00BD0E59">
                      <w:rPr>
                        <w:rFonts w:ascii="Times New Roman" w:eastAsia="Times New Roman" w:hAnsi="Times New Roman" w:cs="Times New Roman"/>
                        <w:color w:val="1C50A4"/>
                        <w:sz w:val="24"/>
                        <w:szCs w:val="24"/>
                        <w:lang w:eastAsia="ru-RU"/>
                      </w:rPr>
                      <w:t>Подписана ЭЦП</w:t>
                    </w:r>
                  </w:hyperlink>
                </w:p>
                <w:p w:rsidR="00BD0E59" w:rsidRPr="00BD0E59" w:rsidRDefault="00BD0E59" w:rsidP="00BD0E59">
                  <w:pPr>
                    <w:spacing w:after="0" w:line="240" w:lineRule="auto"/>
                    <w:rPr>
                      <w:rFonts w:ascii="Times New Roman" w:eastAsia="Times New Roman" w:hAnsi="Times New Roman" w:cs="Times New Roman"/>
                      <w:sz w:val="24"/>
                      <w:szCs w:val="24"/>
                      <w:lang w:eastAsia="ru-RU"/>
                    </w:rPr>
                  </w:pPr>
                  <w:hyperlink r:id="rId16" w:history="1">
                    <w:r w:rsidRPr="00BD0E59">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Порядок предоставления конкурсной документации:</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BD0E59">
                    <w:rPr>
                      <w:rFonts w:ascii="Times New Roman" w:eastAsia="Times New Roman" w:hAnsi="Times New Roman" w:cs="Times New Roman"/>
                      <w:sz w:val="24"/>
                      <w:szCs w:val="24"/>
                      <w:lang w:eastAsia="ru-RU"/>
                    </w:rPr>
                    <w:t>с даты размещения</w:t>
                  </w:r>
                  <w:proofErr w:type="gramEnd"/>
                  <w:r w:rsidRPr="00BD0E59">
                    <w:rPr>
                      <w:rFonts w:ascii="Times New Roman" w:eastAsia="Times New Roman" w:hAnsi="Times New Roman" w:cs="Times New Roman"/>
                      <w:sz w:val="24"/>
                      <w:szCs w:val="24"/>
                      <w:lang w:eastAsia="ru-RU"/>
                    </w:rPr>
                    <w:t xml:space="preserve"> </w:t>
                  </w:r>
                  <w:r w:rsidRPr="00BD0E59">
                    <w:rPr>
                      <w:rFonts w:ascii="Times New Roman" w:eastAsia="Times New Roman" w:hAnsi="Times New Roman" w:cs="Times New Roman"/>
                      <w:sz w:val="24"/>
                      <w:szCs w:val="24"/>
                      <w:lang w:eastAsia="ru-RU"/>
                    </w:rPr>
                    <w:lastRenderedPageBreak/>
                    <w:t>закупки.</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lastRenderedPageBreak/>
                    <w:t>Обеспечение конкурсных заявок, кроме банковских гарантий:</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Финансовое обеспечение на участие в процедуре запроса предложений в форме задатка в размере не менее 3% от стоимости предложения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BD0E59">
                    <w:rPr>
                      <w:rFonts w:ascii="Times New Roman" w:eastAsia="Times New Roman" w:hAnsi="Times New Roman" w:cs="Times New Roman"/>
                      <w:sz w:val="24"/>
                      <w:szCs w:val="2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Конкурсные заявки:</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BD0E59">
                    <w:rPr>
                      <w:rFonts w:ascii="Times New Roman" w:eastAsia="Times New Roman" w:hAnsi="Times New Roman" w:cs="Times New Roman"/>
                      <w:sz w:val="24"/>
                      <w:szCs w:val="24"/>
                      <w:lang w:eastAsia="ru-RU"/>
                    </w:rPr>
                    <w:t>дств в д</w:t>
                  </w:r>
                  <w:proofErr w:type="gramEnd"/>
                  <w:r w:rsidRPr="00BD0E59">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При выборе победителя учитывается:</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Цена с НДС</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Место вскрытия конвертов:</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Вскрытие конвертов с заявками состоится </w:t>
                  </w:r>
                  <w:r w:rsidRPr="00BD0E59">
                    <w:rPr>
                      <w:rFonts w:ascii="Times New Roman" w:eastAsia="Times New Roman" w:hAnsi="Times New Roman" w:cs="Times New Roman"/>
                      <w:b/>
                      <w:bCs/>
                      <w:sz w:val="24"/>
                      <w:szCs w:val="24"/>
                      <w:lang w:eastAsia="ru-RU"/>
                    </w:rPr>
                    <w:t>14.01.2013 в 7:00 по московскому времени</w:t>
                  </w:r>
                  <w:r w:rsidRPr="00BD0E59">
                    <w:rPr>
                      <w:rFonts w:ascii="Times New Roman" w:eastAsia="Times New Roman" w:hAnsi="Times New Roman" w:cs="Times New Roman"/>
                      <w:sz w:val="24"/>
                      <w:szCs w:val="24"/>
                      <w:lang w:eastAsia="ru-RU"/>
                    </w:rPr>
                    <w:t>.</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Дата рассмотрения предложений:</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04.02.2013 15:00</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Место рассмотрения предложений:</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625000, г</w:t>
                  </w:r>
                  <w:proofErr w:type="gramStart"/>
                  <w:r w:rsidRPr="00BD0E59">
                    <w:rPr>
                      <w:rFonts w:ascii="Times New Roman" w:eastAsia="Times New Roman" w:hAnsi="Times New Roman" w:cs="Times New Roman"/>
                      <w:sz w:val="24"/>
                      <w:szCs w:val="24"/>
                      <w:lang w:eastAsia="ru-RU"/>
                    </w:rPr>
                    <w:t>.Т</w:t>
                  </w:r>
                  <w:proofErr w:type="gramEnd"/>
                  <w:r w:rsidRPr="00BD0E59">
                    <w:rPr>
                      <w:rFonts w:ascii="Times New Roman" w:eastAsia="Times New Roman" w:hAnsi="Times New Roman" w:cs="Times New Roman"/>
                      <w:sz w:val="24"/>
                      <w:szCs w:val="24"/>
                      <w:lang w:eastAsia="ru-RU"/>
                    </w:rPr>
                    <w:t xml:space="preserve">юмень, ул. </w:t>
                  </w:r>
                  <w:proofErr w:type="spellStart"/>
                  <w:r w:rsidRPr="00BD0E59">
                    <w:rPr>
                      <w:rFonts w:ascii="Times New Roman" w:eastAsia="Times New Roman" w:hAnsi="Times New Roman" w:cs="Times New Roman"/>
                      <w:sz w:val="24"/>
                      <w:szCs w:val="24"/>
                      <w:lang w:eastAsia="ru-RU"/>
                    </w:rPr>
                    <w:t>Даудельная</w:t>
                  </w:r>
                  <w:proofErr w:type="spellEnd"/>
                  <w:r w:rsidRPr="00BD0E59">
                    <w:rPr>
                      <w:rFonts w:ascii="Times New Roman" w:eastAsia="Times New Roman" w:hAnsi="Times New Roman" w:cs="Times New Roman"/>
                      <w:sz w:val="24"/>
                      <w:szCs w:val="24"/>
                      <w:lang w:eastAsia="ru-RU"/>
                    </w:rPr>
                    <w:t>, 44, кабинет № 2</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Дата и время подведения итогов:</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14.02.2013 15:00</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Место подведения итогов:</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625000, г</w:t>
                  </w:r>
                  <w:proofErr w:type="gramStart"/>
                  <w:r w:rsidRPr="00BD0E59">
                    <w:rPr>
                      <w:rFonts w:ascii="Times New Roman" w:eastAsia="Times New Roman" w:hAnsi="Times New Roman" w:cs="Times New Roman"/>
                      <w:sz w:val="24"/>
                      <w:szCs w:val="24"/>
                      <w:lang w:eastAsia="ru-RU"/>
                    </w:rPr>
                    <w:t>.Т</w:t>
                  </w:r>
                  <w:proofErr w:type="gramEnd"/>
                  <w:r w:rsidRPr="00BD0E59">
                    <w:rPr>
                      <w:rFonts w:ascii="Times New Roman" w:eastAsia="Times New Roman" w:hAnsi="Times New Roman" w:cs="Times New Roman"/>
                      <w:sz w:val="24"/>
                      <w:szCs w:val="24"/>
                      <w:lang w:eastAsia="ru-RU"/>
                    </w:rPr>
                    <w:t xml:space="preserve">юмень, ул. </w:t>
                  </w:r>
                  <w:proofErr w:type="spellStart"/>
                  <w:r w:rsidRPr="00BD0E59">
                    <w:rPr>
                      <w:rFonts w:ascii="Times New Roman" w:eastAsia="Times New Roman" w:hAnsi="Times New Roman" w:cs="Times New Roman"/>
                      <w:sz w:val="24"/>
                      <w:szCs w:val="24"/>
                      <w:lang w:eastAsia="ru-RU"/>
                    </w:rPr>
                    <w:t>Даудельная</w:t>
                  </w:r>
                  <w:proofErr w:type="spellEnd"/>
                  <w:r w:rsidRPr="00BD0E59">
                    <w:rPr>
                      <w:rFonts w:ascii="Times New Roman" w:eastAsia="Times New Roman" w:hAnsi="Times New Roman" w:cs="Times New Roman"/>
                      <w:sz w:val="24"/>
                      <w:szCs w:val="24"/>
                      <w:lang w:eastAsia="ru-RU"/>
                    </w:rPr>
                    <w:t>, 44, кабинет № 2</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Победитель конкурса:</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D0E59">
                    <w:rPr>
                      <w:rFonts w:ascii="Times New Roman" w:eastAsia="Times New Roman" w:hAnsi="Times New Roman" w:cs="Times New Roman"/>
                      <w:sz w:val="24"/>
                      <w:szCs w:val="24"/>
                      <w:lang w:eastAsia="ru-RU"/>
                    </w:rPr>
                    <w:t>ранжировке</w:t>
                  </w:r>
                  <w:proofErr w:type="spellEnd"/>
                  <w:r w:rsidRPr="00BD0E59">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Лимитная (начальная) </w:t>
                  </w:r>
                  <w:r w:rsidRPr="00BD0E59">
                    <w:rPr>
                      <w:rFonts w:ascii="Times New Roman" w:eastAsia="Times New Roman" w:hAnsi="Times New Roman" w:cs="Times New Roman"/>
                      <w:sz w:val="24"/>
                      <w:szCs w:val="24"/>
                      <w:lang w:eastAsia="ru-RU"/>
                    </w:rPr>
                    <w:lastRenderedPageBreak/>
                    <w:t>цена закупки:</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lastRenderedPageBreak/>
                    <w:t>Лот № 1. 36 537 735,49 руб. (Цена с НДС)</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lastRenderedPageBreak/>
                    <w:t>Переторжка (регулирование цены):</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Дополнительная информация о конкурсе:</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D0E5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D0E59">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3601" w:type="pct"/>
                  <w:hideMark/>
                </w:tcPr>
                <w:p w:rsidR="00BD0E59" w:rsidRPr="00BD0E59" w:rsidRDefault="00BD0E59" w:rsidP="002835B7">
                  <w:pPr>
                    <w:spacing w:after="0" w:line="240" w:lineRule="auto"/>
                    <w:rPr>
                      <w:rFonts w:ascii="Times New Roman" w:eastAsia="Times New Roman" w:hAnsi="Times New Roman" w:cs="Times New Roman"/>
                      <w:sz w:val="24"/>
                      <w:szCs w:val="24"/>
                      <w:lang w:eastAsia="ru-RU"/>
                    </w:rPr>
                  </w:pPr>
                  <w:proofErr w:type="gramStart"/>
                  <w:r w:rsidRPr="00BD0E59">
                    <w:rPr>
                      <w:rFonts w:ascii="Times New Roman" w:eastAsia="Times New Roman" w:hAnsi="Times New Roman" w:cs="Times New Roman"/>
                      <w:sz w:val="24"/>
                      <w:szCs w:val="24"/>
                      <w:lang w:eastAsia="ru-RU"/>
                    </w:rPr>
                    <w:t xml:space="preserve">- </w:t>
                  </w:r>
                  <w:hyperlink w:history="1">
                    <w:r w:rsidRPr="00BD0E59">
                      <w:rPr>
                        <w:rFonts w:ascii="Times New Roman" w:eastAsia="Times New Roman" w:hAnsi="Times New Roman" w:cs="Times New Roman"/>
                        <w:color w:val="1C50A4"/>
                        <w:sz w:val="24"/>
                        <w:szCs w:val="24"/>
                        <w:lang w:eastAsia="ru-RU"/>
                      </w:rPr>
                      <w:t>Россия, 627754, Тюменская область, г. Ишим, ул. 5-я Северная, 9</w:t>
                    </w:r>
                  </w:hyperlink>
                  <w:r w:rsidRPr="00BD0E59">
                    <w:rPr>
                      <w:rFonts w:ascii="Times New Roman" w:eastAsia="Times New Roman" w:hAnsi="Times New Roman" w:cs="Times New Roman"/>
                      <w:sz w:val="24"/>
                      <w:szCs w:val="24"/>
                      <w:lang w:eastAsia="ru-RU"/>
                    </w:rPr>
                    <w:br/>
                    <w:t xml:space="preserve">- </w:t>
                  </w:r>
                  <w:hyperlink w:history="1">
                    <w:r w:rsidRPr="00BD0E59">
                      <w:rPr>
                        <w:rFonts w:ascii="Times New Roman" w:eastAsia="Times New Roman" w:hAnsi="Times New Roman" w:cs="Times New Roman"/>
                        <w:color w:val="1C50A4"/>
                        <w:sz w:val="24"/>
                        <w:szCs w:val="24"/>
                        <w:lang w:eastAsia="ru-RU"/>
                      </w:rPr>
                      <w:t>Россия, 627144, Тюменская область, г. Заводоуковск, ул. Энергетиков, 8</w:t>
                    </w:r>
                  </w:hyperlink>
                  <w:r w:rsidRPr="00BD0E59">
                    <w:rPr>
                      <w:rFonts w:ascii="Times New Roman" w:eastAsia="Times New Roman" w:hAnsi="Times New Roman" w:cs="Times New Roman"/>
                      <w:sz w:val="24"/>
                      <w:szCs w:val="24"/>
                      <w:lang w:eastAsia="ru-RU"/>
                    </w:rPr>
                    <w:br/>
                    <w:t xml:space="preserve">- </w:t>
                  </w:r>
                  <w:hyperlink w:history="1">
                    <w:r w:rsidRPr="00BD0E59">
                      <w:rPr>
                        <w:rFonts w:ascii="Times New Roman" w:eastAsia="Times New Roman" w:hAnsi="Times New Roman" w:cs="Times New Roman"/>
                        <w:color w:val="1C50A4"/>
                        <w:sz w:val="24"/>
                        <w:szCs w:val="24"/>
                        <w:lang w:eastAsia="ru-RU"/>
                      </w:rPr>
                      <w:t xml:space="preserve">Россия, </w:t>
                    </w:r>
                    <w:r w:rsidR="002835B7" w:rsidRPr="002835B7">
                      <w:rPr>
                        <w:rFonts w:ascii="Times New Roman" w:eastAsia="Times New Roman" w:hAnsi="Times New Roman" w:cs="Times New Roman"/>
                        <w:color w:val="1C50A4"/>
                        <w:sz w:val="24"/>
                        <w:szCs w:val="24"/>
                        <w:lang w:eastAsia="ru-RU"/>
                      </w:rPr>
                      <w:t xml:space="preserve">626167, </w:t>
                    </w:r>
                    <w:r w:rsidRPr="00BD0E59">
                      <w:rPr>
                        <w:rFonts w:ascii="Times New Roman" w:eastAsia="Times New Roman" w:hAnsi="Times New Roman" w:cs="Times New Roman"/>
                        <w:color w:val="1C50A4"/>
                        <w:sz w:val="24"/>
                        <w:szCs w:val="24"/>
                        <w:lang w:eastAsia="ru-RU"/>
                      </w:rPr>
                      <w:t xml:space="preserve">Тюменская область, г. Тобольск, 7а </w:t>
                    </w:r>
                    <w:proofErr w:type="spellStart"/>
                    <w:r w:rsidRPr="00BD0E59">
                      <w:rPr>
                        <w:rFonts w:ascii="Times New Roman" w:eastAsia="Times New Roman" w:hAnsi="Times New Roman" w:cs="Times New Roman"/>
                        <w:color w:val="1C50A4"/>
                        <w:sz w:val="24"/>
                        <w:szCs w:val="24"/>
                        <w:lang w:eastAsia="ru-RU"/>
                      </w:rPr>
                      <w:t>мкр</w:t>
                    </w:r>
                    <w:proofErr w:type="spellEnd"/>
                    <w:r w:rsidRPr="00BD0E59">
                      <w:rPr>
                        <w:rFonts w:ascii="Times New Roman" w:eastAsia="Times New Roman" w:hAnsi="Times New Roman" w:cs="Times New Roman"/>
                        <w:color w:val="1C50A4"/>
                        <w:sz w:val="24"/>
                        <w:szCs w:val="24"/>
                        <w:lang w:eastAsia="ru-RU"/>
                      </w:rPr>
                      <w:t>, АБК, №3</w:t>
                    </w:r>
                  </w:hyperlink>
                  <w:r w:rsidRPr="00BD0E59">
                    <w:rPr>
                      <w:rFonts w:ascii="Times New Roman" w:eastAsia="Times New Roman" w:hAnsi="Times New Roman" w:cs="Times New Roman"/>
                      <w:sz w:val="24"/>
                      <w:szCs w:val="24"/>
                      <w:lang w:eastAsia="ru-RU"/>
                    </w:rPr>
                    <w:t xml:space="preserve"> </w:t>
                  </w:r>
                  <w:proofErr w:type="gramEnd"/>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Выгрузка на ОС:</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proofErr w:type="gramStart"/>
                  <w:r w:rsidRPr="00BD0E59">
                    <w:rPr>
                      <w:rFonts w:ascii="Times New Roman" w:eastAsia="Times New Roman" w:hAnsi="Times New Roman" w:cs="Times New Roman"/>
                      <w:sz w:val="24"/>
                      <w:szCs w:val="24"/>
                      <w:lang w:eastAsia="ru-RU"/>
                    </w:rPr>
                    <w:t>Поставлена в очередь на выгрузку</w:t>
                  </w:r>
                  <w:proofErr w:type="gramEnd"/>
                </w:p>
              </w:tc>
            </w:tr>
            <w:tr w:rsidR="00BD0E59" w:rsidRPr="00BD0E59" w:rsidTr="002835B7">
              <w:trPr>
                <w:tblCellSpacing w:w="0" w:type="dxa"/>
              </w:trPr>
              <w:tc>
                <w:tcPr>
                  <w:tcW w:w="0" w:type="auto"/>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Дата последнего редактирования:</w:t>
                  </w:r>
                </w:p>
              </w:tc>
              <w:tc>
                <w:tcPr>
                  <w:tcW w:w="3601" w:type="pct"/>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 xml:space="preserve">12.12.2012 13:07, </w:t>
                  </w:r>
                  <w:hyperlink r:id="rId17" w:tgtFrame="_blank" w:tooltip="Отправить личное сообщение" w:history="1">
                    <w:r w:rsidRPr="00BD0E59">
                      <w:rPr>
                        <w:rFonts w:ascii="Times New Roman" w:eastAsia="Times New Roman" w:hAnsi="Times New Roman" w:cs="Times New Roman"/>
                        <w:color w:val="1C50A4"/>
                        <w:sz w:val="24"/>
                        <w:szCs w:val="24"/>
                        <w:lang w:eastAsia="ru-RU"/>
                      </w:rPr>
                      <w:t>Савченко Юлия Васильевна</w:t>
                    </w:r>
                  </w:hyperlink>
                </w:p>
              </w:tc>
            </w:tr>
            <w:tr w:rsidR="00BD0E59" w:rsidRPr="00BD0E59" w:rsidTr="002835B7">
              <w:trPr>
                <w:tblCellSpacing w:w="0" w:type="dxa"/>
              </w:trPr>
              <w:tc>
                <w:tcPr>
                  <w:tcW w:w="0" w:type="auto"/>
                  <w:shd w:val="clear" w:color="auto" w:fill="F7F7F7"/>
                  <w:hideMark/>
                </w:tcPr>
                <w:p w:rsidR="00BD0E59" w:rsidRPr="00BD0E59" w:rsidRDefault="00BD0E59" w:rsidP="00BD0E59">
                  <w:pPr>
                    <w:spacing w:after="0" w:line="240" w:lineRule="auto"/>
                    <w:jc w:val="right"/>
                    <w:rPr>
                      <w:rFonts w:ascii="Times New Roman" w:eastAsia="Times New Roman" w:hAnsi="Times New Roman" w:cs="Times New Roman"/>
                      <w:sz w:val="24"/>
                      <w:szCs w:val="24"/>
                      <w:lang w:eastAsia="ru-RU"/>
                    </w:rPr>
                  </w:pPr>
                  <w:r w:rsidRPr="00BD0E59">
                    <w:rPr>
                      <w:rFonts w:ascii="Times New Roman" w:eastAsia="Times New Roman" w:hAnsi="Times New Roman" w:cs="Times New Roman"/>
                      <w:sz w:val="24"/>
                      <w:szCs w:val="24"/>
                      <w:lang w:eastAsia="ru-RU"/>
                    </w:rPr>
                    <w:t>Информация о подписи:</w:t>
                  </w:r>
                </w:p>
              </w:tc>
              <w:tc>
                <w:tcPr>
                  <w:tcW w:w="3601" w:type="pct"/>
                  <w:shd w:val="clear" w:color="auto" w:fill="F7F7F7"/>
                  <w:hideMark/>
                </w:tcPr>
                <w:p w:rsidR="00BD0E59" w:rsidRPr="00BD0E59" w:rsidRDefault="00BD0E59" w:rsidP="00BD0E59">
                  <w:pPr>
                    <w:spacing w:after="0" w:line="240" w:lineRule="auto"/>
                    <w:rPr>
                      <w:rFonts w:ascii="Times New Roman" w:eastAsia="Times New Roman" w:hAnsi="Times New Roman" w:cs="Times New Roman"/>
                      <w:sz w:val="24"/>
                      <w:szCs w:val="24"/>
                      <w:lang w:eastAsia="ru-RU"/>
                    </w:rPr>
                  </w:pPr>
                  <w:hyperlink r:id="rId18" w:tgtFrame="signature" w:history="1">
                    <w:r w:rsidRPr="00BD0E59">
                      <w:rPr>
                        <w:rFonts w:ascii="Times New Roman" w:eastAsia="Times New Roman" w:hAnsi="Times New Roman" w:cs="Times New Roman"/>
                        <w:color w:val="1C50A4"/>
                        <w:sz w:val="24"/>
                        <w:szCs w:val="24"/>
                        <w:lang w:eastAsia="ru-RU"/>
                      </w:rPr>
                      <w:t>Подписано ЭЦП</w:t>
                    </w:r>
                  </w:hyperlink>
                </w:p>
              </w:tc>
            </w:tr>
          </w:tbl>
          <w:p w:rsidR="00BD0E59" w:rsidRPr="00BD0E59" w:rsidRDefault="00BD0E59" w:rsidP="00BD0E59">
            <w:pPr>
              <w:spacing w:after="0" w:line="240" w:lineRule="auto"/>
              <w:rPr>
                <w:rFonts w:ascii="Times New Roman" w:eastAsia="Times New Roman" w:hAnsi="Times New Roman" w:cs="Times New Roman"/>
                <w:sz w:val="24"/>
                <w:szCs w:val="24"/>
                <w:lang w:eastAsia="ru-RU"/>
              </w:rPr>
            </w:pPr>
          </w:p>
        </w:tc>
      </w:tr>
    </w:tbl>
    <w:p w:rsidR="006A26EE" w:rsidRDefault="006A26EE"/>
    <w:sectPr w:rsidR="006A26EE" w:rsidSect="00BF3092">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3092"/>
    <w:rsid w:val="0016027E"/>
    <w:rsid w:val="002835B7"/>
    <w:rsid w:val="00326DE9"/>
    <w:rsid w:val="006A26EE"/>
    <w:rsid w:val="009706E6"/>
    <w:rsid w:val="00BD0E59"/>
    <w:rsid w:val="00BF3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EE"/>
  </w:style>
  <w:style w:type="paragraph" w:styleId="1">
    <w:name w:val="heading 1"/>
    <w:basedOn w:val="a"/>
    <w:link w:val="10"/>
    <w:uiPriority w:val="9"/>
    <w:qFormat/>
    <w:rsid w:val="00BF309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092"/>
    <w:rPr>
      <w:rFonts w:ascii="Arial" w:eastAsia="Times New Roman" w:hAnsi="Arial" w:cs="Arial"/>
      <w:color w:val="333333"/>
      <w:kern w:val="36"/>
      <w:sz w:val="36"/>
      <w:szCs w:val="36"/>
      <w:lang w:eastAsia="ru-RU"/>
    </w:rPr>
  </w:style>
  <w:style w:type="character" w:customStyle="1" w:styleId="bg1">
    <w:name w:val="bg1"/>
    <w:basedOn w:val="a0"/>
    <w:rsid w:val="00BF3092"/>
    <w:rPr>
      <w:color w:val="A0A0A0"/>
      <w:sz w:val="18"/>
      <w:szCs w:val="18"/>
    </w:rPr>
  </w:style>
  <w:style w:type="character" w:customStyle="1" w:styleId="userlinkmenu">
    <w:name w:val="userlink_menu"/>
    <w:basedOn w:val="a0"/>
    <w:rsid w:val="00BF3092"/>
  </w:style>
</w:styles>
</file>

<file path=word/webSettings.xml><?xml version="1.0" encoding="utf-8"?>
<w:webSettings xmlns:r="http://schemas.openxmlformats.org/officeDocument/2006/relationships" xmlns:w="http://schemas.openxmlformats.org/wordprocessingml/2006/main">
  <w:divs>
    <w:div w:id="1383404238">
      <w:bodyDiv w:val="1"/>
      <w:marLeft w:val="0"/>
      <w:marRight w:val="0"/>
      <w:marTop w:val="0"/>
      <w:marBottom w:val="0"/>
      <w:divBdr>
        <w:top w:val="none" w:sz="0" w:space="0" w:color="auto"/>
        <w:left w:val="none" w:sz="0" w:space="0" w:color="auto"/>
        <w:bottom w:val="none" w:sz="0" w:space="0" w:color="auto"/>
        <w:right w:val="none" w:sz="0" w:space="0" w:color="auto"/>
      </w:divBdr>
      <w:divsChild>
        <w:div w:id="353119842">
          <w:marLeft w:val="0"/>
          <w:marRight w:val="15"/>
          <w:marTop w:val="0"/>
          <w:marBottom w:val="30"/>
          <w:divBdr>
            <w:top w:val="none" w:sz="0" w:space="0" w:color="auto"/>
            <w:left w:val="none" w:sz="0" w:space="0" w:color="auto"/>
            <w:bottom w:val="none" w:sz="0" w:space="0" w:color="auto"/>
            <w:right w:val="none" w:sz="0" w:space="0" w:color="auto"/>
          </w:divBdr>
        </w:div>
        <w:div w:id="1751612128">
          <w:marLeft w:val="0"/>
          <w:marRight w:val="15"/>
          <w:marTop w:val="0"/>
          <w:marBottom w:val="30"/>
          <w:divBdr>
            <w:top w:val="none" w:sz="0" w:space="0" w:color="auto"/>
            <w:left w:val="none" w:sz="0" w:space="0" w:color="auto"/>
            <w:bottom w:val="none" w:sz="0" w:space="0" w:color="auto"/>
            <w:right w:val="none" w:sz="0" w:space="0" w:color="auto"/>
          </w:divBdr>
        </w:div>
        <w:div w:id="69424107">
          <w:marLeft w:val="0"/>
          <w:marRight w:val="15"/>
          <w:marTop w:val="0"/>
          <w:marBottom w:val="30"/>
          <w:divBdr>
            <w:top w:val="none" w:sz="0" w:space="0" w:color="auto"/>
            <w:left w:val="none" w:sz="0" w:space="0" w:color="auto"/>
            <w:bottom w:val="none" w:sz="0" w:space="0" w:color="auto"/>
            <w:right w:val="none" w:sz="0" w:space="0" w:color="auto"/>
          </w:divBdr>
        </w:div>
        <w:div w:id="2073456050">
          <w:marLeft w:val="0"/>
          <w:marRight w:val="15"/>
          <w:marTop w:val="0"/>
          <w:marBottom w:val="30"/>
          <w:divBdr>
            <w:top w:val="none" w:sz="0" w:space="0" w:color="auto"/>
            <w:left w:val="none" w:sz="0" w:space="0" w:color="auto"/>
            <w:bottom w:val="none" w:sz="0" w:space="0" w:color="auto"/>
            <w:right w:val="none" w:sz="0" w:space="0" w:color="auto"/>
          </w:divBdr>
        </w:div>
        <w:div w:id="1741563254">
          <w:marLeft w:val="0"/>
          <w:marRight w:val="15"/>
          <w:marTop w:val="0"/>
          <w:marBottom w:val="30"/>
          <w:divBdr>
            <w:top w:val="none" w:sz="0" w:space="0" w:color="auto"/>
            <w:left w:val="none" w:sz="0" w:space="0" w:color="auto"/>
            <w:bottom w:val="none" w:sz="0" w:space="0" w:color="auto"/>
            <w:right w:val="none" w:sz="0" w:space="0" w:color="auto"/>
          </w:divBdr>
        </w:div>
        <w:div w:id="1166289897">
          <w:marLeft w:val="0"/>
          <w:marRight w:val="15"/>
          <w:marTop w:val="0"/>
          <w:marBottom w:val="30"/>
          <w:divBdr>
            <w:top w:val="none" w:sz="0" w:space="0" w:color="auto"/>
            <w:left w:val="none" w:sz="0" w:space="0" w:color="auto"/>
            <w:bottom w:val="none" w:sz="0" w:space="0" w:color="auto"/>
            <w:right w:val="none" w:sz="0" w:space="0" w:color="auto"/>
          </w:divBdr>
        </w:div>
        <w:div w:id="517355142">
          <w:marLeft w:val="0"/>
          <w:marRight w:val="0"/>
          <w:marTop w:val="0"/>
          <w:marBottom w:val="0"/>
          <w:divBdr>
            <w:top w:val="none" w:sz="0" w:space="0" w:color="auto"/>
            <w:left w:val="none" w:sz="0" w:space="0" w:color="auto"/>
            <w:bottom w:val="none" w:sz="0" w:space="0" w:color="auto"/>
            <w:right w:val="none" w:sz="0" w:space="0" w:color="auto"/>
          </w:divBdr>
        </w:div>
      </w:divsChild>
    </w:div>
    <w:div w:id="2089695595">
      <w:bodyDiv w:val="1"/>
      <w:marLeft w:val="0"/>
      <w:marRight w:val="0"/>
      <w:marTop w:val="0"/>
      <w:marBottom w:val="0"/>
      <w:divBdr>
        <w:top w:val="none" w:sz="0" w:space="0" w:color="auto"/>
        <w:left w:val="none" w:sz="0" w:space="0" w:color="auto"/>
        <w:bottom w:val="none" w:sz="0" w:space="0" w:color="auto"/>
        <w:right w:val="none" w:sz="0" w:space="0" w:color="auto"/>
      </w:divBdr>
      <w:divsChild>
        <w:div w:id="1499809938">
          <w:marLeft w:val="0"/>
          <w:marRight w:val="15"/>
          <w:marTop w:val="0"/>
          <w:marBottom w:val="30"/>
          <w:divBdr>
            <w:top w:val="none" w:sz="0" w:space="0" w:color="auto"/>
            <w:left w:val="none" w:sz="0" w:space="0" w:color="auto"/>
            <w:bottom w:val="none" w:sz="0" w:space="0" w:color="auto"/>
            <w:right w:val="none" w:sz="0" w:space="0" w:color="auto"/>
          </w:divBdr>
        </w:div>
        <w:div w:id="544567562">
          <w:marLeft w:val="0"/>
          <w:marRight w:val="15"/>
          <w:marTop w:val="0"/>
          <w:marBottom w:val="30"/>
          <w:divBdr>
            <w:top w:val="none" w:sz="0" w:space="0" w:color="auto"/>
            <w:left w:val="none" w:sz="0" w:space="0" w:color="auto"/>
            <w:bottom w:val="none" w:sz="0" w:space="0" w:color="auto"/>
            <w:right w:val="none" w:sz="0" w:space="0" w:color="auto"/>
          </w:divBdr>
        </w:div>
        <w:div w:id="982463463">
          <w:marLeft w:val="0"/>
          <w:marRight w:val="15"/>
          <w:marTop w:val="0"/>
          <w:marBottom w:val="30"/>
          <w:divBdr>
            <w:top w:val="none" w:sz="0" w:space="0" w:color="auto"/>
            <w:left w:val="none" w:sz="0" w:space="0" w:color="auto"/>
            <w:bottom w:val="none" w:sz="0" w:space="0" w:color="auto"/>
            <w:right w:val="none" w:sz="0" w:space="0" w:color="auto"/>
          </w:divBdr>
        </w:div>
        <w:div w:id="1062488856">
          <w:marLeft w:val="0"/>
          <w:marRight w:val="15"/>
          <w:marTop w:val="0"/>
          <w:marBottom w:val="30"/>
          <w:divBdr>
            <w:top w:val="none" w:sz="0" w:space="0" w:color="auto"/>
            <w:left w:val="none" w:sz="0" w:space="0" w:color="auto"/>
            <w:bottom w:val="none" w:sz="0" w:space="0" w:color="auto"/>
            <w:right w:val="none" w:sz="0" w:space="0" w:color="auto"/>
          </w:divBdr>
        </w:div>
        <w:div w:id="1827551590">
          <w:marLeft w:val="0"/>
          <w:marRight w:val="15"/>
          <w:marTop w:val="0"/>
          <w:marBottom w:val="30"/>
          <w:divBdr>
            <w:top w:val="none" w:sz="0" w:space="0" w:color="auto"/>
            <w:left w:val="none" w:sz="0" w:space="0" w:color="auto"/>
            <w:bottom w:val="none" w:sz="0" w:space="0" w:color="auto"/>
            <w:right w:val="none" w:sz="0" w:space="0" w:color="auto"/>
          </w:divBdr>
        </w:div>
        <w:div w:id="315958962">
          <w:marLeft w:val="0"/>
          <w:marRight w:val="15"/>
          <w:marTop w:val="0"/>
          <w:marBottom w:val="30"/>
          <w:divBdr>
            <w:top w:val="none" w:sz="0" w:space="0" w:color="auto"/>
            <w:left w:val="none" w:sz="0" w:space="0" w:color="auto"/>
            <w:bottom w:val="none" w:sz="0" w:space="0" w:color="auto"/>
            <w:right w:val="none" w:sz="0" w:space="0" w:color="auto"/>
          </w:divBdr>
        </w:div>
        <w:div w:id="80881401">
          <w:marLeft w:val="0"/>
          <w:marRight w:val="0"/>
          <w:marTop w:val="0"/>
          <w:marBottom w:val="0"/>
          <w:divBdr>
            <w:top w:val="none" w:sz="0" w:space="0" w:color="auto"/>
            <w:left w:val="none" w:sz="0" w:space="0" w:color="auto"/>
            <w:bottom w:val="none" w:sz="0" w:space="0" w:color="auto"/>
            <w:right w:val="none" w:sz="0" w:space="0" w:color="auto"/>
          </w:divBdr>
        </w:div>
        <w:div w:id="880750978">
          <w:marLeft w:val="0"/>
          <w:marRight w:val="0"/>
          <w:marTop w:val="0"/>
          <w:marBottom w:val="0"/>
          <w:divBdr>
            <w:top w:val="none" w:sz="0" w:space="0" w:color="auto"/>
            <w:left w:val="none" w:sz="0" w:space="0" w:color="auto"/>
            <w:bottom w:val="none" w:sz="0" w:space="0" w:color="auto"/>
            <w:right w:val="none" w:sz="0" w:space="0" w:color="auto"/>
          </w:divBdr>
        </w:div>
        <w:div w:id="144730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349&amp;show=statistics" TargetMode="External"/><Relationship Id="rId13" Type="http://schemas.openxmlformats.org/officeDocument/2006/relationships/hyperlink" Target="http://www.b2b-mrsk.ru/download.html?file=file%2F3848369.zip&amp;title=259_%D0%9A%D0%94.zip" TargetMode="External"/><Relationship Id="rId18" Type="http://schemas.openxmlformats.org/officeDocument/2006/relationships/hyperlink" Target="http://www.b2b-mrsk.ru/market/view_tender.html?id=33349&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edit_tender.html?id=33349&amp;action=send_letters" TargetMode="External"/><Relationship Id="rId12" Type="http://schemas.openxmlformats.org/officeDocument/2006/relationships/hyperlink" Target="mailto:savchenko@tumes.te.ru" TargetMode="External"/><Relationship Id="rId17" Type="http://schemas.openxmlformats.org/officeDocument/2006/relationships/hyperlink" Target="http://www.b2b-mrsk.ru/popups/send_message.html?action=send&amp;to=125158"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3349&amp;action=invitations" TargetMode="External"/><Relationship Id="rId11" Type="http://schemas.openxmlformats.org/officeDocument/2006/relationships/hyperlink" Target="http://www.b2b-mrsk.ru/popups/send_message.html?action=send&amp;to=125158&amp;subject=%D0%92%D0%BE%D0%BF%D1%80%D0%BE%D1%81+%D0%BF%D0%BE+%D0%BA%D0%BE%D0%BD%D0%BA%D1%83%D1%80%D1%81%D1%83+%E2%84%96+33349" TargetMode="External"/><Relationship Id="rId5" Type="http://schemas.openxmlformats.org/officeDocument/2006/relationships/hyperlink" Target="http://www.b2b-mrsk.ru/market/view_tender.html?id=33349&amp;action=explanation" TargetMode="External"/><Relationship Id="rId15" Type="http://schemas.openxmlformats.org/officeDocument/2006/relationships/hyperlink" Target="http://www.b2b-mrsk.ru/market/view_tender.html?id=33349&amp;action=signed_doc&amp;key=docs"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fontTable" Target="fontTable.xml"/><Relationship Id="rId4" Type="http://schemas.openxmlformats.org/officeDocument/2006/relationships/hyperlink" Target="http://www.b2b-mrsk.ru/market/view_tender.html?id=33349&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market/edit_tender.html?id=33349&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1654</Words>
  <Characters>9432</Characters>
  <Application>Microsoft Office Word</Application>
  <DocSecurity>0</DocSecurity>
  <Lines>78</Lines>
  <Paragraphs>22</Paragraphs>
  <ScaleCrop>false</ScaleCrop>
  <Company>JSC TyumenEnergo</Company>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savchenko</cp:lastModifiedBy>
  <cp:revision>6</cp:revision>
  <cp:lastPrinted>2012-12-12T09:18:00Z</cp:lastPrinted>
  <dcterms:created xsi:type="dcterms:W3CDTF">2012-12-12T07:22:00Z</dcterms:created>
  <dcterms:modified xsi:type="dcterms:W3CDTF">2012-12-12T09:19:00Z</dcterms:modified>
</cp:coreProperties>
</file>