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B7" w:rsidRPr="001837B7" w:rsidRDefault="001837B7" w:rsidP="001837B7">
      <w:pPr>
        <w:spacing w:after="144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837B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886658</w:t>
      </w:r>
      <w:r w:rsidRPr="001837B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bookmarkStart w:id="0" w:name="_GoBack"/>
      <w:bookmarkEnd w:id="0"/>
      <w:r w:rsidRPr="001837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837B7" w:rsidRPr="001837B7" w:rsidRDefault="001837B7" w:rsidP="001837B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37B7" w:rsidRPr="001837B7" w:rsidTr="001837B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37B7" w:rsidRPr="001837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7B7" w:rsidRPr="001837B7" w:rsidRDefault="001837B7" w:rsidP="001837B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837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 электрические сети</w:t>
                  </w:r>
                  <w:r w:rsidRPr="001837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 электрические сети</w:t>
                  </w:r>
                  <w:r w:rsidRPr="001837B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837B7" w:rsidRPr="001837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 электрические сети 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11 044 998,82 руб.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18.09.2017 07:57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12:00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01.06.2018 - 30.09.2018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18.09.2017 07:57, </w:t>
                        </w:r>
                        <w:hyperlink r:id="rId6" w:tgtFrame="_blank" w:tooltip="Отправить личное сообщение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1837B7" w:rsidRPr="001837B7" w:rsidRDefault="001837B7" w:rsidP="001837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837B7" w:rsidRPr="001837B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37B7" w:rsidRPr="001837B7" w:rsidRDefault="001837B7" w:rsidP="001837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837B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837B7" w:rsidRPr="001837B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837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837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1837B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ИТР (дорожный мастер)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электрогазосварщик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автокрановщик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стропальщик - не менее 1чел.,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С - не менее 5 чел.,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D - не менее 1 чел.,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водитель категории Е - не менее 1 чел.,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маляр - не менее 4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дорожный рабочий - не менее 2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подсобные рабочие - не менее 5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монтажник металлических конструкций - не менее 1чел,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бульдозера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автопогрузчика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копровой установки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рабочий копра - не менее 1 чел.,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машинист бурильной установки - не менее 1 чел.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самосвал грузоподъемностью не менее 10 т - не менее 5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автомобиль бортовой грузоподъемностью не менее 10 т - не менее 1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автокран грузоподъемностью не менее 16 т - не менее 1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сварочный агрегат - не менее 1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бетономешалка - не менее 1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транспортное средство с для перевозки людей с количеством мест не менее 8 человек - не менее 1 шт.;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тягач грузоподъемностью не менее 30 т- не менее 1 единицы;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бульдозер- не менее 1 единицы,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автопогрузчик -не менее 1 единицы;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бурильная автомашина-не менее 1 единицы;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копровая установка- не менее 1 единицы;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oftHyphen/>
                          <w:t xml:space="preserve"> полуприцеп грузоподъемностью не менее 40 т- не менее 1 единицы.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837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КР ЗиС ПРЭС и ХМРЭС.7z</w:t>
                          </w:r>
                        </w:hyperlink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(19.3 МБ)</w:t>
                        </w:r>
                      </w:p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837B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14:00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14:00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837B7" w:rsidRPr="001837B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837B7" w:rsidRPr="001837B7" w:rsidRDefault="001837B7" w:rsidP="001837B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1837B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1837B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</w:tbl>
                <w:p w:rsidR="001837B7" w:rsidRPr="001837B7" w:rsidRDefault="001837B7" w:rsidP="001837B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837B7" w:rsidRPr="001837B7" w:rsidRDefault="001837B7" w:rsidP="001837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1837B7" w:rsidP="001837B7">
      <w:pPr>
        <w:spacing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50D27E3"/>
    <w:multiLevelType w:val="multilevel"/>
    <w:tmpl w:val="B5A6563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CB"/>
    <w:rsid w:val="001837B7"/>
    <w:rsid w:val="004B5D72"/>
    <w:rsid w:val="00925CCB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99D5-B4FD-4778-BCC2-B518E48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7B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7B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837B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837B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837B7"/>
    <w:rPr>
      <w:sz w:val="18"/>
      <w:szCs w:val="18"/>
    </w:rPr>
  </w:style>
  <w:style w:type="character" w:customStyle="1" w:styleId="imp2">
    <w:name w:val="imp2"/>
    <w:basedOn w:val="a0"/>
    <w:rsid w:val="001837B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837B7"/>
  </w:style>
  <w:style w:type="character" w:customStyle="1" w:styleId="ellipsis2">
    <w:name w:val="ellipsis2"/>
    <w:basedOn w:val="a0"/>
    <w:rsid w:val="001837B7"/>
  </w:style>
  <w:style w:type="character" w:customStyle="1" w:styleId="a-more">
    <w:name w:val="a-more"/>
    <w:basedOn w:val="a0"/>
    <w:rsid w:val="001837B7"/>
  </w:style>
  <w:style w:type="character" w:customStyle="1" w:styleId="a-less">
    <w:name w:val="a-less"/>
    <w:basedOn w:val="a0"/>
    <w:rsid w:val="001837B7"/>
  </w:style>
  <w:style w:type="character" w:customStyle="1" w:styleId="userlinkmenu">
    <w:name w:val="userlink_menu"/>
    <w:basedOn w:val="a0"/>
    <w:rsid w:val="001837B7"/>
  </w:style>
  <w:style w:type="character" w:customStyle="1" w:styleId="floathint-marker1">
    <w:name w:val="floathint-marker1"/>
    <w:basedOn w:val="a0"/>
    <w:rsid w:val="001837B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57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5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86658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91002124.7z&amp;title=%D0%9A%D0%94+%D0%9A%D0%A0+%D0%97%D0%B8%D0%A1+%D0%9F%D0%A0%D0%AD%D0%A1+%D0%B8+%D0%A5%D0%9C%D0%A0%D0%AD%D0%A1.7z" TargetMode="External"/><Relationship Id="rId17" Type="http://schemas.openxmlformats.org/officeDocument/2006/relationships/hyperlink" Target="http://www.b2b-mrsk.ru/market/edit.html?duplicated_from_id=88665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86658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6668" TargetMode="External"/><Relationship Id="rId15" Type="http://schemas.openxmlformats.org/officeDocument/2006/relationships/hyperlink" Target="http://www.b2b-mrsk.ru/market/edit.html?id=886658&amp;action=edit" TargetMode="External"/><Relationship Id="rId10" Type="http://schemas.openxmlformats.org/officeDocument/2006/relationships/hyperlink" Target="mailto:YakovlenkoYV%40nues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665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2808</Words>
  <Characters>16009</Characters>
  <Application>Microsoft Office Word</Application>
  <DocSecurity>0</DocSecurity>
  <Lines>133</Lines>
  <Paragraphs>37</Paragraphs>
  <ScaleCrop>false</ScaleCrop>
  <Company/>
  <LinksUpToDate>false</LinksUpToDate>
  <CharactersWithSpaces>18780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2017-09-18T05:07:00Z</dcterms:created>
  <dcterms:modified xsi:type="dcterms:W3CDTF">2017-09-18T05:08:00Z</dcterms:modified>
</cp:coreProperties>
</file>