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0A" w:rsidRPr="001E1B0A" w:rsidRDefault="001E1B0A" w:rsidP="001E1B0A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Протокол № 437977 (0420) - 2</w:t>
      </w:r>
    </w:p>
    <w:p w:rsidR="001E1B0A" w:rsidRPr="001E1B0A" w:rsidRDefault="001E1B0A" w:rsidP="001E1B0A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 xml:space="preserve">рассмотрения предложений на запросе предложений (объявлении о покупке) </w:t>
      </w:r>
    </w:p>
    <w:tbl>
      <w:tblPr>
        <w:tblW w:w="9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211"/>
      </w:tblGrid>
      <w:tr w:rsidR="001E1B0A" w:rsidRPr="00027E14" w:rsidTr="00623999">
        <w:trPr>
          <w:trHeight w:val="368"/>
        </w:trPr>
        <w:tc>
          <w:tcPr>
            <w:tcW w:w="4678" w:type="dxa"/>
          </w:tcPr>
          <w:p w:rsidR="001E1B0A" w:rsidRDefault="001E1B0A" w:rsidP="00623999">
            <w:pPr>
              <w:snapToGrid w:val="0"/>
              <w:spacing w:after="0" w:line="240" w:lineRule="auto"/>
              <w:ind w:right="494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  <w:p w:rsidR="001E1B0A" w:rsidRPr="00027E14" w:rsidRDefault="001E1B0A" w:rsidP="00623999">
            <w:pPr>
              <w:snapToGrid w:val="0"/>
              <w:spacing w:after="0" w:line="240" w:lineRule="auto"/>
              <w:ind w:right="49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Pr="001E1B0A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437977 (0420) - 2</w:t>
            </w:r>
          </w:p>
        </w:tc>
        <w:tc>
          <w:tcPr>
            <w:tcW w:w="5211" w:type="dxa"/>
          </w:tcPr>
          <w:p w:rsidR="001E1B0A" w:rsidRDefault="001E1B0A" w:rsidP="006239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7E1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</w:p>
          <w:p w:rsidR="001E1B0A" w:rsidRPr="00027E14" w:rsidRDefault="001E1B0A" w:rsidP="001E1B0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</w:t>
            </w:r>
            <w:r w:rsidRPr="00027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  <w:r w:rsidRPr="00027E14">
              <w:rPr>
                <w:rFonts w:ascii="Times New Roman" w:eastAsia="Times New Roman" w:hAnsi="Times New Roman" w:cs="Times New Roman"/>
                <w:lang w:eastAsia="ru-RU"/>
              </w:rPr>
              <w:t>.12.201</w:t>
            </w:r>
            <w:r w:rsidRPr="00027E1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027E1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1E1B0A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1E1B0A" w:rsidRPr="001E1B0A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1E1B0A">
        <w:rPr>
          <w:rFonts w:ascii="Times New Roman" w:eastAsia="Times New Roman" w:hAnsi="Times New Roman" w:cs="Times New Roman"/>
          <w:lang w:eastAsia="ru-RU"/>
        </w:rPr>
        <w:br/>
        <w:t xml:space="preserve">Открытый запрос предложений на право заключения договора на выполнение проектно-изыскательских работ по строительству </w:t>
      </w:r>
      <w:proofErr w:type="gramStart"/>
      <w:r w:rsidRPr="001E1B0A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Pr="001E1B0A">
        <w:rPr>
          <w:rFonts w:ascii="Times New Roman" w:eastAsia="Times New Roman" w:hAnsi="Times New Roman" w:cs="Times New Roman"/>
          <w:lang w:eastAsia="ru-RU"/>
        </w:rPr>
        <w:t xml:space="preserve"> 110 </w:t>
      </w:r>
      <w:proofErr w:type="spellStart"/>
      <w:r w:rsidRPr="001E1B0A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1E1B0A">
        <w:rPr>
          <w:rFonts w:ascii="Times New Roman" w:eastAsia="Times New Roman" w:hAnsi="Times New Roman" w:cs="Times New Roman"/>
          <w:lang w:eastAsia="ru-RU"/>
        </w:rPr>
        <w:t xml:space="preserve"> Исконная - Лимбя-Яха-1,2 филиала ОАО "Тюменьэнерго" Северные электрические сети</w:t>
      </w:r>
    </w:p>
    <w:p w:rsidR="001E1B0A" w:rsidRPr="001E1B0A" w:rsidRDefault="001E1B0A" w:rsidP="001E1B0A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Состав комиссии</w:t>
      </w:r>
      <w:proofErr w:type="gramStart"/>
      <w:r w:rsidRPr="001E1B0A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1E1B0A">
        <w:rPr>
          <w:rFonts w:ascii="Times New Roman" w:eastAsia="Times New Roman" w:hAnsi="Times New Roman" w:cs="Times New Roman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27E14">
        <w:rPr>
          <w:rFonts w:ascii="Times New Roman" w:eastAsia="Times New Roman" w:hAnsi="Times New Roman" w:cs="Times New Roman"/>
          <w:b/>
          <w:bCs/>
          <w:lang w:eastAsia="ru-RU"/>
        </w:rPr>
        <w:t xml:space="preserve">Зам. председателя Конкурсной (Закупочной) комиссии:    </w:t>
      </w:r>
      <w:bookmarkStart w:id="0" w:name="_GoBack"/>
      <w:bookmarkEnd w:id="0"/>
    </w:p>
    <w:p w:rsidR="001E1B0A" w:rsidRPr="001E1B0A" w:rsidRDefault="001E1B0A" w:rsidP="001E1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>Заместитель 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1E1B0A" w:rsidRPr="001E1B0A" w:rsidRDefault="001E1B0A" w:rsidP="001E1B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инженер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А.А. </w:t>
      </w: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 xml:space="preserve">Симаков 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27E14">
        <w:rPr>
          <w:rFonts w:ascii="Times New Roman" w:eastAsia="Times New Roman" w:hAnsi="Times New Roman" w:cs="Times New Roman"/>
          <w:b/>
          <w:bCs/>
          <w:lang w:eastAsia="ru-RU"/>
        </w:rPr>
        <w:t xml:space="preserve">Зам. председателя Конкурсной (Закупочной) комиссии:    </w:t>
      </w:r>
    </w:p>
    <w:p w:rsidR="001E1B0A" w:rsidRPr="00027E14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>Начальник СЭБ ОАО «Тюменьэнерго»</w:t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027E14">
        <w:rPr>
          <w:rFonts w:ascii="Times New Roman" w:eastAsia="Times New Roman" w:hAnsi="Times New Roman" w:cs="Times New Roman"/>
          <w:lang w:eastAsia="ru-RU"/>
        </w:rPr>
        <w:t>С.Г. Алексеев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027E1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юрисконсульт Северных ЭС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 В.А. Марченко 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Начальник ПТС </w:t>
      </w:r>
      <w:proofErr w:type="gramStart"/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 xml:space="preserve"> ЭС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Г.К. Браворенко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proofErr w:type="spellStart"/>
      <w:r w:rsidRPr="00027E14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027E1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>Северных</w:t>
      </w:r>
      <w:proofErr w:type="gramEnd"/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ЭС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М.В. Тинин</w:t>
      </w:r>
    </w:p>
    <w:p w:rsidR="001E1B0A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>Заместитель директора по развитию и реализации услуг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1B0A">
        <w:rPr>
          <w:rFonts w:ascii="Times New Roman" w:eastAsia="Times New Roman" w:hAnsi="Times New Roman" w:cs="Times New Roman"/>
          <w:color w:val="000000"/>
          <w:lang w:eastAsia="ru-RU"/>
        </w:rPr>
        <w:t xml:space="preserve"> филиала ОАО "Тюменьэнерго" Северных ЭС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П.В. Пивоваров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Зам. начальника </w:t>
      </w:r>
      <w:proofErr w:type="spellStart"/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>УЛиМТО</w:t>
      </w:r>
      <w:proofErr w:type="spellEnd"/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ОАО «Тюменьэнерго»  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7E14">
        <w:rPr>
          <w:rFonts w:ascii="Times New Roman" w:eastAsia="Times New Roman" w:hAnsi="Times New Roman" w:cs="Times New Roman"/>
          <w:color w:val="000000"/>
          <w:lang w:eastAsia="ru-RU"/>
        </w:rPr>
        <w:t xml:space="preserve">    Е.А. Ванина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27E14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027E14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027E14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1E1B0A" w:rsidRPr="00027E14" w:rsidRDefault="001E1B0A" w:rsidP="001E1B0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 xml:space="preserve">Инженер </w:t>
      </w:r>
      <w:proofErr w:type="spellStart"/>
      <w:r w:rsidRPr="00027E14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027E1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27E14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027E14">
        <w:rPr>
          <w:rFonts w:ascii="Times New Roman" w:eastAsia="Times New Roman" w:hAnsi="Times New Roman" w:cs="Times New Roman"/>
          <w:lang w:eastAsia="ru-RU"/>
        </w:rPr>
        <w:t xml:space="preserve"> ЭС</w:t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</w:r>
      <w:r w:rsidRPr="00027E14">
        <w:rPr>
          <w:rFonts w:ascii="Times New Roman" w:eastAsia="Times New Roman" w:hAnsi="Times New Roman" w:cs="Times New Roman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027E14">
        <w:rPr>
          <w:rFonts w:ascii="Times New Roman" w:eastAsia="Times New Roman" w:hAnsi="Times New Roman" w:cs="Times New Roman"/>
          <w:lang w:eastAsia="ru-RU"/>
        </w:rPr>
        <w:t xml:space="preserve">   С.С. Шумель</w:t>
      </w:r>
    </w:p>
    <w:p w:rsidR="001E1B0A" w:rsidRPr="001E1B0A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1B0A" w:rsidRPr="001E1B0A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1E1B0A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1E1B0A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736"/>
        <w:gridCol w:w="2551"/>
        <w:gridCol w:w="3402"/>
      </w:tblGrid>
      <w:tr w:rsidR="001E1B0A" w:rsidRPr="001E1B0A" w:rsidTr="001E1B0A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 №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437977-20882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"АСП" холдинг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РосЭнерго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454008, г. Челябинск, Свердловский пр-т, д. 30б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454119, Россия, Челябинская область, г. Челябинск, ул. Машиностроителей, д. 2, офис 410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437977-60085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СеверЭСП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628405, Россия, Тюменская область, Ханты-Мансийский Автономный округ - Югра, г. Сургут, ул. 30 лет победы 44б. оф.202.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628405, Россия, Тюменская область, Ханты-Мансийский Автономный округ - Югра, г. Сургут, ул. Югорская, д. 40/1</w:t>
            </w:r>
            <w:proofErr w:type="gramEnd"/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437977-16322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АО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ЭнергоСтройПроект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454006, г. Челябинск, ул.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Российская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, д. 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454006, г. Челябинск, ул.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Российская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, д. 17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437977-456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ОАО "ИЦЭ Урала"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Россия, 620075, Свердловская область, г. Екатеринбург, Кировский р-н, ул. Первомайская, 56, офис 524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Россия, 620075, Свердловская область, г. Екатеринбург, Кировский р-н, ул. Первомайская, 56</w:t>
            </w:r>
            <w:proofErr w:type="gramEnd"/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437977-68483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"Енисей Инжиниринг"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660077, Красноярский край, г. Красноярск, ул. Молокова д. 8 оф. 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660077, г. Красноярск, ул. Молокова д. 8 оф. 121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437977-12480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Россия, г. Вологда,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омсомольская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Россия, г. Вологда,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омсомольская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437977-43040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Союзэнергопроект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117437, г. Москва, ул. Арцимовича Академика, д. 12, корп.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117437, г. Москва, ул. Арцимовича Академика, д. 12, корп. 2</w:t>
            </w:r>
          </w:p>
        </w:tc>
      </w:tr>
    </w:tbl>
    <w:p w:rsidR="001E1B0A" w:rsidRPr="001E1B0A" w:rsidRDefault="001E1B0A" w:rsidP="001E1B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E1B0A" w:rsidRPr="001E1B0A" w:rsidRDefault="001E1B0A" w:rsidP="001E1B0A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E1B0A" w:rsidRPr="001E1B0A" w:rsidRDefault="001E1B0A" w:rsidP="001E1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1E1B0A" w:rsidRPr="001E1B0A" w:rsidRDefault="001E1B0A" w:rsidP="001E1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2.1. Не допустить к итоговой оценке следующие предложения участников запроса предложений (объявления о покупке)</w:t>
      </w:r>
      <w:proofErr w:type="gramStart"/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,п</w:t>
      </w:r>
      <w:proofErr w:type="gramEnd"/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736"/>
        <w:gridCol w:w="5953"/>
      </w:tblGrid>
      <w:tr w:rsidR="001E1B0A" w:rsidRPr="001E1B0A" w:rsidTr="001E1B0A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 №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437977-60085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СеверЭСП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Отклонить Заявк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у ООО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СеверЭСП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 в соответствии с п. 3.9.2.6 (в) Закупочной документации, а именно: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 предоставленной копии свидетельства СРО на проектные работы, в электронной версии и в копии на бумажном носителе (заверенное нотариально) не указана сумма (не возможно определить), планируемая стоимость подготовки проектной документации, исходя из размера которой членом саморегулируемой организации был внесен взнос в компенсационный фонд саморегулируемой организации в соответствии с частью 6 статьи 55.16 ГК РФ, что не соответствует п. 31.9.11 информационной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карты закупочной документации.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2. Представлен Оригинал Референции Альфа банка с оборотами с 01.05.2014 по 31.10.2014, не соответствует условию Конкурса "обороты по счету (за последний год до даты получения референции)".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437977-456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ОАО "ИЦЭ Урала"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Отклонить Заявку ОАО "ИЦЭ Урала" в соответствии с п. 3.9.2.6 (в) Закупочной документации, а именно: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1. Отсутствует обоснование стоимости работ и затрат (сметы, расчеты) выполненные в программном комплексе «Адепт-Проект».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437977-12480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Отклонить Заявк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у ООО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Северэнергопроект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 в соответствии с п. 3.9.2.6 (в) Закупочной документации, а именно: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1. Обоснование стоимости работ и затрат (сметы, расчеты) выполнены не в программном комплексе «Адепт-Проект».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437977-43040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Союзэнергопроект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Отклонить Заявк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у ООО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Союзэнергопроект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 в соответствии с п. 3.9.2.6 (в) Закупочной документации, а именно: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 На электронно-торговой площадке в заявке участника (в электронной версии) не размещено свидетельство СРО (специальная правоспособность) на право выполнение проектно-изыскательских работ по строительству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Исконная - Лимбя-Яха-1,2 филиала ОАО "Тюменьэнерго" Северные электрические сети (на бумажном носителе предоставлена копия заверенная нотариально), что не соответствует с п. 31.9.11. Информационной карты закупочной документации.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2.Сводная смета, предложенная Участником, не соответствует форме 3 КД, отсутствуют разделы разработка проектной и рабочей документации. Сводная смета выполнена для объекта КЛ-110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, а локальные расчеты выполнены для КЛ-10кВ, что не соответствует категории выполняемых работ (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110кВ).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3. Отсутствует обоснование стоимости работ и затрат (сметы, расчеты) выполненные в программном комплексе «Адепт-Проект».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4. Участником не соблюдены сроки согласования документации с Заказчиком, указанные в п.1.2, 2.2, 2.3, 4.2 Календарного плана (форма 4 к КД).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5. Не представлена Копия бухгалтерской (финансовой) отчетности (бухгалтерский баланс, отчет о финансовых результатах), за завершившийся отчетный период текущего года 9 месяцев 2014, не соответствует условию Конкурса.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Не представлен Оригинал референции банка (в случае если у Участника имеется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референции), характеристика контрагента от банка, информация об аресте счетов, не соответствует условию Конкурса.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>7. Представлена Справка об отсутствии задолженности по уплате налогов, сборов, страховых взносов, пеней и налоговых санкций по состоянию на 31.10.2014, не соответствует условию Конкурса "не ранее чем за 30 дней до срока окончания подачи Заявок".</w:t>
            </w:r>
          </w:p>
        </w:tc>
      </w:tr>
    </w:tbl>
    <w:p w:rsidR="001E1B0A" w:rsidRPr="001E1B0A" w:rsidRDefault="001E1B0A" w:rsidP="001E1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2.2. Допустить к итоговой оценке следующие предложения участников запроса предложений (объявления о покупке)</w:t>
      </w:r>
      <w:proofErr w:type="gramStart"/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,п</w:t>
      </w:r>
      <w:proofErr w:type="gramEnd"/>
      <w:r w:rsidRPr="001E1B0A">
        <w:rPr>
          <w:rFonts w:ascii="Times New Roman" w:eastAsia="Times New Roman" w:hAnsi="Times New Roman" w:cs="Times New Roman"/>
          <w:b/>
          <w:bCs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78"/>
        <w:gridCol w:w="5811"/>
      </w:tblGrid>
      <w:tr w:rsidR="001E1B0A" w:rsidRPr="001E1B0A" w:rsidTr="001E1B0A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 №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437977-20882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"АСП" холдинг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РосЭнерго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Цена: 11 330 797,80 руб.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Выполнение проектно-изыскательских работ по строительству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Исконная - Лимбя-Яха-1,2 филиала ОАО "Тюменьэнерго" Северные электрические сети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437977-16322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АО "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ЭнергоСтройПроект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Цена: 14 220 135,25 руб.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Выполнение проектно-изыскательских работ по строительству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Исконная - Лимбя-Яха-1,2 филиала ОАО "Тюменьэнерго" Северные электрические сети</w:t>
            </w:r>
          </w:p>
        </w:tc>
      </w:tr>
      <w:tr w:rsidR="001E1B0A" w:rsidRPr="001E1B0A" w:rsidTr="001E1B0A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437977-68483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ООО "Енисей Инжиниринг"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B0A" w:rsidRPr="001E1B0A" w:rsidRDefault="001E1B0A" w:rsidP="001E1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Цена: 14 297 872,79 руб.</w:t>
            </w: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Выполнение проектно-изыскательских работ по строительству </w:t>
            </w:r>
            <w:proofErr w:type="gram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ВЛ</w:t>
            </w:r>
            <w:proofErr w:type="gram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 xml:space="preserve"> Исконная - Лимбя-Яха-1,2 филиала ОАО "Тюменьэнерго" Северные электрические сети.</w:t>
            </w:r>
          </w:p>
        </w:tc>
      </w:tr>
    </w:tbl>
    <w:p w:rsidR="001E1B0A" w:rsidRDefault="001E1B0A" w:rsidP="001E1B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E1B0A" w:rsidRPr="00027E14" w:rsidRDefault="001E1B0A" w:rsidP="001E1B0A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027E14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1E1B0A" w:rsidRPr="00027E14" w:rsidRDefault="001E1B0A" w:rsidP="001E1B0A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1E1B0A" w:rsidRPr="00027E14" w:rsidRDefault="001E1B0A" w:rsidP="001E1B0A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027E14">
        <w:rPr>
          <w:rFonts w:ascii="Times New Roman" w:eastAsia="Times New Roman" w:hAnsi="Times New Roman" w:cs="Times New Roman"/>
          <w:lang w:eastAsia="ru-RU"/>
        </w:rPr>
        <w:softHyphen/>
      </w:r>
      <w:r w:rsidRPr="00027E14">
        <w:rPr>
          <w:rFonts w:ascii="Times New Roman" w:eastAsia="Times New Roman" w:hAnsi="Times New Roman" w:cs="Times New Roman"/>
          <w:lang w:eastAsia="ru-RU"/>
        </w:rPr>
        <w:softHyphen/>
      </w:r>
      <w:r w:rsidRPr="00027E14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1E1B0A" w:rsidRPr="00027E14" w:rsidRDefault="001E1B0A" w:rsidP="001E1B0A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7E14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1E1B0A" w:rsidRPr="00027E14" w:rsidRDefault="001E1B0A" w:rsidP="001E1B0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027E14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1E1B0A" w:rsidRPr="00027E14" w:rsidTr="00623999">
        <w:trPr>
          <w:trHeight w:val="80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Зам. председателя Конкурсной (Закупочной) комиссии: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1B0A" w:rsidRPr="00027E14" w:rsidTr="00623999">
        <w:tc>
          <w:tcPr>
            <w:tcW w:w="5580" w:type="dxa"/>
            <w:vAlign w:val="center"/>
          </w:tcPr>
          <w:p w:rsidR="001E1B0A" w:rsidRPr="001E1B0A" w:rsidRDefault="001E1B0A" w:rsidP="001E1B0A">
            <w:pPr>
              <w:tabs>
                <w:tab w:val="left" w:pos="110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</w:t>
            </w:r>
          </w:p>
          <w:p w:rsidR="001E1B0A" w:rsidRPr="00027E14" w:rsidRDefault="001E1B0A" w:rsidP="001E1B0A">
            <w:pPr>
              <w:tabs>
                <w:tab w:val="left" w:pos="110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1E1B0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А.А. Симаков</w:t>
            </w:r>
          </w:p>
        </w:tc>
      </w:tr>
      <w:tr w:rsidR="001E1B0A" w:rsidRPr="00027E14" w:rsidTr="00623999"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Зам. председателя Конкурсной (Закупочной) комиссии: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</w:tr>
      <w:tr w:rsidR="001E1B0A" w:rsidRPr="00027E14" w:rsidTr="00623999">
        <w:tc>
          <w:tcPr>
            <w:tcW w:w="5580" w:type="dxa"/>
            <w:vAlign w:val="center"/>
          </w:tcPr>
          <w:p w:rsidR="001E1B0A" w:rsidRPr="00027E14" w:rsidRDefault="001E1B0A" w:rsidP="0062399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1B0A" w:rsidRPr="00027E14" w:rsidRDefault="001E1B0A" w:rsidP="0062399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СЭБ ОАО "Тюменьэнерго"  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Опросный лист    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С.Г. Алексеев</w:t>
            </w:r>
          </w:p>
        </w:tc>
      </w:tr>
      <w:tr w:rsidR="001E1B0A" w:rsidRPr="00027E14" w:rsidTr="00623999"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1B0A" w:rsidRPr="00027E14" w:rsidTr="00623999">
        <w:trPr>
          <w:trHeight w:val="80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начальника </w:t>
            </w:r>
            <w:proofErr w:type="spellStart"/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УЛиМТО</w:t>
            </w:r>
            <w:proofErr w:type="spellEnd"/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ОАО «Тюменьэнерго»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Е.А. Ванина</w:t>
            </w:r>
          </w:p>
        </w:tc>
      </w:tr>
      <w:tr w:rsidR="001E1B0A" w:rsidRPr="00027E14" w:rsidTr="00623999">
        <w:trPr>
          <w:trHeight w:val="80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1B0A" w:rsidRPr="00027E14" w:rsidRDefault="001E1B0A" w:rsidP="001E1B0A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Г.К. Браворенко</w:t>
            </w:r>
          </w:p>
        </w:tc>
      </w:tr>
      <w:tr w:rsidR="001E1B0A" w:rsidRPr="00027E14" w:rsidTr="00623999">
        <w:trPr>
          <w:trHeight w:val="528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1B0A" w:rsidRPr="00027E14" w:rsidRDefault="001E1B0A" w:rsidP="00623999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юрисконсульт 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Марченко</w:t>
            </w:r>
          </w:p>
        </w:tc>
      </w:tr>
      <w:tr w:rsidR="001E1B0A" w:rsidRPr="00027E14" w:rsidTr="00623999">
        <w:trPr>
          <w:trHeight w:val="528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1B0A" w:rsidRPr="00027E14" w:rsidRDefault="001E1B0A" w:rsidP="00623999">
            <w:pPr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B0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развитию и реализации услуг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П.В. Пивоваров</w:t>
            </w:r>
          </w:p>
        </w:tc>
      </w:tr>
      <w:tr w:rsidR="001E1B0A" w:rsidRPr="00027E14" w:rsidTr="00623999">
        <w:trPr>
          <w:trHeight w:val="80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</w:t>
            </w:r>
            <w:proofErr w:type="spellStart"/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ОЛиМТО</w:t>
            </w:r>
            <w:proofErr w:type="spellEnd"/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 Тинин</w:t>
            </w:r>
          </w:p>
        </w:tc>
      </w:tr>
      <w:tr w:rsidR="001E1B0A" w:rsidRPr="00027E14" w:rsidTr="00623999">
        <w:trPr>
          <w:trHeight w:val="449"/>
        </w:trPr>
        <w:tc>
          <w:tcPr>
            <w:tcW w:w="558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1B0A" w:rsidRPr="00027E14" w:rsidRDefault="001E1B0A" w:rsidP="006239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С.С. Шумель</w:t>
            </w:r>
          </w:p>
        </w:tc>
      </w:tr>
    </w:tbl>
    <w:p w:rsidR="001E1B0A" w:rsidRPr="001E1B0A" w:rsidRDefault="001E1B0A" w:rsidP="001E1B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1E1B0A" w:rsidRPr="001E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0A"/>
    <w:rsid w:val="001E1B0A"/>
    <w:rsid w:val="00757526"/>
    <w:rsid w:val="008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2014-12-22T06:38:00Z</cp:lastPrinted>
  <dcterms:created xsi:type="dcterms:W3CDTF">2014-12-22T06:28:00Z</dcterms:created>
  <dcterms:modified xsi:type="dcterms:W3CDTF">2014-12-22T06:39:00Z</dcterms:modified>
</cp:coreProperties>
</file>