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79" w:rsidRPr="00702179" w:rsidRDefault="00702179" w:rsidP="00702179">
      <w:pPr>
        <w:shd w:val="clear" w:color="auto" w:fill="FFFFFF"/>
        <w:spacing w:after="100" w:afterAutospacing="1" w:line="315" w:lineRule="atLeast"/>
        <w:outlineLvl w:val="0"/>
        <w:rPr>
          <w:rFonts w:ascii="Arial" w:hAnsi="Arial" w:cs="Arial"/>
          <w:color w:val="333333"/>
          <w:kern w:val="36"/>
          <w:sz w:val="27"/>
          <w:szCs w:val="27"/>
        </w:rPr>
      </w:pPr>
      <w:r w:rsidRPr="00702179">
        <w:rPr>
          <w:rFonts w:ascii="Arial" w:hAnsi="Arial" w:cs="Arial"/>
          <w:color w:val="333333"/>
          <w:kern w:val="36"/>
          <w:sz w:val="27"/>
          <w:szCs w:val="27"/>
        </w:rPr>
        <w:t>Конкурс (тендер) № 37414 </w:t>
      </w:r>
      <w:r w:rsidRPr="00702179">
        <w:rPr>
          <w:rFonts w:ascii="Arial" w:hAnsi="Arial" w:cs="Arial"/>
          <w:color w:val="A0A0A0"/>
          <w:kern w:val="36"/>
          <w:sz w:val="21"/>
          <w:szCs w:val="21"/>
        </w:rPr>
        <w:t>(вскрытие конвертов 07.11.2013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702179" w:rsidRPr="00702179" w:rsidTr="00702179">
        <w:trPr>
          <w:tblCellSpacing w:w="0" w:type="dxa"/>
        </w:trPr>
        <w:tc>
          <w:tcPr>
            <w:tcW w:w="0" w:type="auto"/>
            <w:shd w:val="clear" w:color="auto" w:fill="FFFFFF"/>
            <w:hideMark/>
          </w:tcPr>
          <w:p w:rsidR="00702179" w:rsidRPr="00702179" w:rsidRDefault="00702179" w:rsidP="00702179">
            <w:pPr>
              <w:shd w:val="clear" w:color="auto" w:fill="0786D0"/>
              <w:rPr>
                <w:rFonts w:ascii="Arial" w:hAnsi="Arial" w:cs="Arial"/>
                <w:color w:val="FFFFFF"/>
                <w:sz w:val="18"/>
                <w:szCs w:val="18"/>
              </w:rPr>
            </w:pPr>
            <w:r w:rsidRPr="00702179">
              <w:rPr>
                <w:rFonts w:ascii="Arial" w:hAnsi="Arial" w:cs="Arial"/>
                <w:color w:val="FFFFFF"/>
                <w:sz w:val="18"/>
                <w:szCs w:val="18"/>
              </w:rPr>
              <w:t>Извещение</w:t>
            </w:r>
          </w:p>
          <w:p w:rsidR="00702179" w:rsidRPr="00702179" w:rsidRDefault="00702179" w:rsidP="00702179">
            <w:pPr>
              <w:shd w:val="clear" w:color="auto" w:fill="D5DADB"/>
              <w:rPr>
                <w:rFonts w:ascii="Arial" w:hAnsi="Arial" w:cs="Arial"/>
                <w:color w:val="333333"/>
                <w:sz w:val="18"/>
                <w:szCs w:val="18"/>
              </w:rPr>
            </w:pPr>
            <w:hyperlink r:id="rId5" w:history="1">
              <w:r w:rsidRPr="00702179">
                <w:rPr>
                  <w:rFonts w:ascii="Arial" w:hAnsi="Arial" w:cs="Arial"/>
                  <w:color w:val="333333"/>
                  <w:sz w:val="18"/>
                  <w:szCs w:val="18"/>
                  <w:u w:val="single"/>
                  <w:bdr w:val="none" w:sz="0" w:space="0" w:color="auto" w:frame="1"/>
                </w:rPr>
                <w:t>Лоты</w:t>
              </w:r>
            </w:hyperlink>
            <w:r w:rsidRPr="00702179">
              <w:rPr>
                <w:rFonts w:ascii="Arial" w:hAnsi="Arial" w:cs="Arial"/>
                <w:color w:val="333333"/>
                <w:sz w:val="18"/>
                <w:szCs w:val="18"/>
              </w:rPr>
              <w:t> - 1</w:t>
            </w:r>
          </w:p>
          <w:p w:rsidR="00702179" w:rsidRPr="00702179" w:rsidRDefault="00702179" w:rsidP="00702179">
            <w:pPr>
              <w:shd w:val="clear" w:color="auto" w:fill="D5DADB"/>
              <w:rPr>
                <w:rFonts w:ascii="Arial" w:hAnsi="Arial" w:cs="Arial"/>
                <w:color w:val="333333"/>
                <w:sz w:val="18"/>
                <w:szCs w:val="18"/>
              </w:rPr>
            </w:pPr>
            <w:hyperlink r:id="rId6" w:history="1">
              <w:r w:rsidRPr="00702179">
                <w:rPr>
                  <w:rFonts w:ascii="Arial" w:hAnsi="Arial" w:cs="Arial"/>
                  <w:color w:val="333333"/>
                  <w:sz w:val="18"/>
                  <w:szCs w:val="18"/>
                  <w:u w:val="single"/>
                  <w:bdr w:val="none" w:sz="0" w:space="0" w:color="auto" w:frame="1"/>
                </w:rPr>
                <w:t>Запросы разъяснений</w:t>
              </w:r>
            </w:hyperlink>
            <w:r w:rsidRPr="00702179">
              <w:rPr>
                <w:rFonts w:ascii="Arial" w:hAnsi="Arial" w:cs="Arial"/>
                <w:color w:val="333333"/>
                <w:sz w:val="18"/>
                <w:szCs w:val="18"/>
              </w:rPr>
              <w:t> - 0</w:t>
            </w:r>
          </w:p>
          <w:p w:rsidR="00702179" w:rsidRPr="00702179" w:rsidRDefault="00702179" w:rsidP="00702179">
            <w:pPr>
              <w:shd w:val="clear" w:color="auto" w:fill="D5DADB"/>
              <w:rPr>
                <w:rFonts w:ascii="Arial" w:hAnsi="Arial" w:cs="Arial"/>
                <w:color w:val="333333"/>
                <w:sz w:val="18"/>
                <w:szCs w:val="18"/>
              </w:rPr>
            </w:pPr>
            <w:hyperlink r:id="rId7" w:history="1">
              <w:r w:rsidRPr="00702179">
                <w:rPr>
                  <w:rFonts w:ascii="Arial" w:hAnsi="Arial" w:cs="Arial"/>
                  <w:color w:val="333333"/>
                  <w:sz w:val="18"/>
                  <w:szCs w:val="18"/>
                  <w:u w:val="single"/>
                  <w:bdr w:val="none" w:sz="0" w:space="0" w:color="auto" w:frame="1"/>
                </w:rPr>
                <w:t>Приглашения к участию</w:t>
              </w:r>
            </w:hyperlink>
            <w:r w:rsidRPr="00702179">
              <w:rPr>
                <w:rFonts w:ascii="Arial" w:hAnsi="Arial" w:cs="Arial"/>
                <w:color w:val="333333"/>
                <w:sz w:val="18"/>
                <w:szCs w:val="18"/>
              </w:rPr>
              <w:t> - 0</w:t>
            </w:r>
          </w:p>
          <w:p w:rsidR="00702179" w:rsidRPr="00702179" w:rsidRDefault="00702179" w:rsidP="00702179">
            <w:pPr>
              <w:shd w:val="clear" w:color="auto" w:fill="D5DADB"/>
              <w:rPr>
                <w:rFonts w:ascii="Arial" w:hAnsi="Arial" w:cs="Arial"/>
                <w:color w:val="333333"/>
                <w:sz w:val="18"/>
                <w:szCs w:val="18"/>
              </w:rPr>
            </w:pPr>
            <w:hyperlink r:id="rId8" w:history="1">
              <w:r w:rsidRPr="00702179">
                <w:rPr>
                  <w:rFonts w:ascii="Arial" w:hAnsi="Arial" w:cs="Arial"/>
                  <w:color w:val="333333"/>
                  <w:sz w:val="18"/>
                  <w:szCs w:val="18"/>
                  <w:u w:val="single"/>
                  <w:bdr w:val="none" w:sz="0" w:space="0" w:color="auto" w:frame="1"/>
                </w:rPr>
                <w:t>Претенденты</w:t>
              </w:r>
            </w:hyperlink>
            <w:r w:rsidRPr="00702179">
              <w:rPr>
                <w:rFonts w:ascii="Arial" w:hAnsi="Arial" w:cs="Arial"/>
                <w:color w:val="333333"/>
                <w:sz w:val="18"/>
                <w:szCs w:val="18"/>
              </w:rPr>
              <w:t> - 0</w:t>
            </w:r>
          </w:p>
          <w:p w:rsidR="00702179" w:rsidRPr="00702179" w:rsidRDefault="00702179" w:rsidP="00702179">
            <w:pPr>
              <w:shd w:val="clear" w:color="auto" w:fill="D5DADB"/>
              <w:rPr>
                <w:rFonts w:ascii="Arial" w:hAnsi="Arial" w:cs="Arial"/>
                <w:color w:val="333333"/>
                <w:sz w:val="18"/>
                <w:szCs w:val="18"/>
              </w:rPr>
            </w:pPr>
            <w:hyperlink r:id="rId9" w:history="1">
              <w:r w:rsidRPr="00702179">
                <w:rPr>
                  <w:rFonts w:ascii="Arial" w:hAnsi="Arial" w:cs="Arial"/>
                  <w:color w:val="333333"/>
                  <w:sz w:val="18"/>
                  <w:szCs w:val="18"/>
                  <w:u w:val="single"/>
                  <w:bdr w:val="none" w:sz="0" w:space="0" w:color="auto" w:frame="1"/>
                </w:rPr>
                <w:t>Статистика посещений</w:t>
              </w:r>
            </w:hyperlink>
          </w:p>
        </w:tc>
      </w:tr>
    </w:tbl>
    <w:p w:rsidR="00702179" w:rsidRPr="00702179" w:rsidRDefault="00702179" w:rsidP="00702179"/>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702179" w:rsidRPr="00702179" w:rsidTr="00702179">
        <w:trPr>
          <w:tblCellSpacing w:w="7" w:type="dxa"/>
        </w:trPr>
        <w:tc>
          <w:tcPr>
            <w:tcW w:w="0" w:type="auto"/>
            <w:shd w:val="clear" w:color="auto" w:fill="C2C9CD"/>
            <w:tcMar>
              <w:top w:w="75" w:type="dxa"/>
              <w:left w:w="75" w:type="dxa"/>
              <w:bottom w:w="75" w:type="dxa"/>
              <w:right w:w="75" w:type="dxa"/>
            </w:tcMar>
            <w:hideMark/>
          </w:tcPr>
          <w:p w:rsidR="00702179" w:rsidRPr="00702179" w:rsidRDefault="00702179" w:rsidP="00702179">
            <w:pPr>
              <w:shd w:val="clear" w:color="auto" w:fill="C2C9CD"/>
              <w:spacing w:line="210" w:lineRule="atLeast"/>
              <w:outlineLvl w:val="1"/>
              <w:rPr>
                <w:rFonts w:ascii="Arial" w:hAnsi="Arial" w:cs="Arial"/>
                <w:color w:val="333333"/>
                <w:sz w:val="18"/>
                <w:szCs w:val="18"/>
              </w:rPr>
            </w:pPr>
            <w:hyperlink r:id="rId10" w:history="1">
              <w:r w:rsidRPr="00702179">
                <w:rPr>
                  <w:rFonts w:ascii="Arial" w:hAnsi="Arial" w:cs="Arial"/>
                  <w:b/>
                  <w:bCs/>
                  <w:color w:val="990066"/>
                  <w:sz w:val="18"/>
                  <w:szCs w:val="18"/>
                  <w:u w:val="single"/>
                </w:rPr>
                <w:t>Филиал Открытого Акционерного Общества энергетики и электрификации "</w:t>
              </w:r>
              <w:proofErr w:type="spellStart"/>
              <w:r w:rsidRPr="00702179">
                <w:rPr>
                  <w:rFonts w:ascii="Arial" w:hAnsi="Arial" w:cs="Arial"/>
                  <w:b/>
                  <w:bCs/>
                  <w:color w:val="990066"/>
                  <w:sz w:val="18"/>
                  <w:szCs w:val="18"/>
                  <w:u w:val="single"/>
                </w:rPr>
                <w:t>Тюменьэнерго</w:t>
              </w:r>
              <w:proofErr w:type="spellEnd"/>
              <w:r w:rsidRPr="00702179">
                <w:rPr>
                  <w:rFonts w:ascii="Arial" w:hAnsi="Arial" w:cs="Arial"/>
                  <w:b/>
                  <w:bCs/>
                  <w:color w:val="990066"/>
                  <w:sz w:val="18"/>
                  <w:szCs w:val="18"/>
                  <w:u w:val="single"/>
                </w:rPr>
                <w:t xml:space="preserve">" </w:t>
              </w:r>
              <w:proofErr w:type="spellStart"/>
              <w:r w:rsidRPr="00702179">
                <w:rPr>
                  <w:rFonts w:ascii="Arial" w:hAnsi="Arial" w:cs="Arial"/>
                  <w:b/>
                  <w:bCs/>
                  <w:color w:val="990066"/>
                  <w:sz w:val="18"/>
                  <w:szCs w:val="18"/>
                  <w:u w:val="single"/>
                </w:rPr>
                <w:t>Нижневартовские</w:t>
              </w:r>
              <w:proofErr w:type="spellEnd"/>
              <w:r w:rsidRPr="00702179">
                <w:rPr>
                  <w:rFonts w:ascii="Arial" w:hAnsi="Arial" w:cs="Arial"/>
                  <w:b/>
                  <w:bCs/>
                  <w:color w:val="990066"/>
                  <w:sz w:val="18"/>
                  <w:szCs w:val="18"/>
                  <w:u w:val="single"/>
                </w:rPr>
                <w:t xml:space="preserve"> электрические сети</w:t>
              </w:r>
            </w:hyperlink>
            <w:r w:rsidRPr="00702179">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702179">
              <w:rPr>
                <w:rFonts w:ascii="Arial" w:hAnsi="Arial" w:cs="Arial"/>
                <w:b/>
                <w:bCs/>
                <w:color w:val="333333"/>
                <w:sz w:val="18"/>
                <w:szCs w:val="18"/>
              </w:rPr>
              <w:t>приглашает принять участие в процедуре (тендере)</w:t>
            </w:r>
            <w:r w:rsidRPr="00702179">
              <w:rPr>
                <w:rFonts w:ascii="Arial" w:hAnsi="Arial" w:cs="Arial"/>
                <w:color w:val="333333"/>
                <w:sz w:val="18"/>
                <w:szCs w:val="18"/>
              </w:rPr>
              <w:t>.</w:t>
            </w:r>
          </w:p>
        </w:tc>
      </w:tr>
      <w:tr w:rsidR="00702179" w:rsidRPr="00702179" w:rsidTr="0070217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Предмет конкурса (тендера):</w:t>
                  </w:r>
                </w:p>
              </w:tc>
              <w:tc>
                <w:tcPr>
                  <w:tcW w:w="0" w:type="auto"/>
                  <w:shd w:val="clear" w:color="auto" w:fill="F7F7F7"/>
                  <w:hideMark/>
                </w:tcPr>
                <w:p w:rsidR="00702179" w:rsidRPr="00702179" w:rsidRDefault="00702179" w:rsidP="00702179">
                  <w:r w:rsidRPr="00702179">
                    <w:t>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w:t>
                  </w:r>
                  <w:proofErr w:type="spellStart"/>
                  <w:r w:rsidRPr="00702179">
                    <w:t>клининговые</w:t>
                  </w:r>
                  <w:proofErr w:type="spellEnd"/>
                  <w:r w:rsidRPr="00702179">
                    <w:t xml:space="preserve"> услуги) филиала ОАО «</w:t>
                  </w:r>
                  <w:proofErr w:type="spellStart"/>
                  <w:r w:rsidRPr="00702179">
                    <w:t>Тюменьэнерго</w:t>
                  </w:r>
                  <w:proofErr w:type="spellEnd"/>
                  <w:r w:rsidRPr="00702179">
                    <w:t xml:space="preserve">» </w:t>
                  </w:r>
                  <w:proofErr w:type="spellStart"/>
                  <w:r w:rsidRPr="00702179">
                    <w:t>Нижневартовские</w:t>
                  </w:r>
                  <w:proofErr w:type="spellEnd"/>
                  <w:r w:rsidRPr="00702179">
                    <w:t xml:space="preserve"> электрические сети</w:t>
                  </w:r>
                  <w:r w:rsidRPr="00702179">
                    <w:br/>
                  </w:r>
                  <w:r w:rsidRPr="00702179">
                    <w:rPr>
                      <w:b/>
                      <w:bCs/>
                    </w:rPr>
                    <w:t>Лот № 1.</w:t>
                  </w:r>
                  <w:r w:rsidRPr="00702179">
                    <w:t> Оказание услуг по санитарному содержанию помещений и территорий (</w:t>
                  </w:r>
                  <w:proofErr w:type="spellStart"/>
                  <w:r w:rsidRPr="00702179">
                    <w:t>клининговые</w:t>
                  </w:r>
                  <w:proofErr w:type="spellEnd"/>
                  <w:r w:rsidRPr="00702179">
                    <w:t xml:space="preserve"> услуги) филиала ОАО «</w:t>
                  </w:r>
                  <w:proofErr w:type="spellStart"/>
                  <w:r w:rsidRPr="00702179">
                    <w:t>Тюменьэнерго</w:t>
                  </w:r>
                  <w:proofErr w:type="spellEnd"/>
                  <w:r w:rsidRPr="00702179">
                    <w:t xml:space="preserve">» </w:t>
                  </w:r>
                  <w:proofErr w:type="spellStart"/>
                  <w:r w:rsidRPr="00702179">
                    <w:t>Нижневартовские</w:t>
                  </w:r>
                  <w:proofErr w:type="spellEnd"/>
                  <w:r w:rsidRPr="00702179">
                    <w:t xml:space="preserve"> электрические сети (ОАО "</w:t>
                  </w:r>
                  <w:proofErr w:type="spellStart"/>
                  <w:r w:rsidRPr="00702179">
                    <w:t>Тюменьэнерго</w:t>
                  </w:r>
                  <w:proofErr w:type="spellEnd"/>
                  <w:r w:rsidRPr="00702179">
                    <w:t>")</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Категории ОКДП:</w:t>
                  </w:r>
                </w:p>
              </w:tc>
              <w:tc>
                <w:tcPr>
                  <w:tcW w:w="0" w:type="auto"/>
                  <w:hideMark/>
                </w:tcPr>
                <w:p w:rsidR="00702179" w:rsidRPr="00702179" w:rsidRDefault="00702179" w:rsidP="00702179">
                  <w:r w:rsidRPr="00702179">
                    <w:t>7493051 </w:t>
                  </w:r>
                  <w:hyperlink r:id="rId11" w:history="1">
                    <w:r w:rsidRPr="00702179">
                      <w:rPr>
                        <w:color w:val="1C50A4"/>
                        <w:u w:val="single"/>
                      </w:rPr>
                      <w:t>Мытье и натирка полов</w:t>
                    </w:r>
                  </w:hyperlink>
                  <w:r w:rsidRPr="00702179">
                    <w:br/>
                    <w:t>7493052 </w:t>
                  </w:r>
                  <w:hyperlink r:id="rId12" w:history="1">
                    <w:r w:rsidRPr="00702179">
                      <w:rPr>
                        <w:color w:val="1C50A4"/>
                        <w:u w:val="single"/>
                      </w:rPr>
                      <w:t>Мытье внутренних стен и дверей</w:t>
                    </w:r>
                  </w:hyperlink>
                  <w:r w:rsidRPr="00702179">
                    <w:br/>
                    <w:t>7493053 </w:t>
                  </w:r>
                  <w:hyperlink r:id="rId13" w:history="1">
                    <w:r w:rsidRPr="00702179">
                      <w:rPr>
                        <w:color w:val="1C50A4"/>
                        <w:u w:val="single"/>
                      </w:rPr>
                      <w:t>Натирка мебели</w:t>
                    </w:r>
                  </w:hyperlink>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Категория ОКВЭД:</w:t>
                  </w:r>
                </w:p>
              </w:tc>
              <w:tc>
                <w:tcPr>
                  <w:tcW w:w="0" w:type="auto"/>
                  <w:shd w:val="clear" w:color="auto" w:fill="F7F7F7"/>
                  <w:hideMark/>
                </w:tcPr>
                <w:p w:rsidR="00702179" w:rsidRPr="00702179" w:rsidRDefault="00702179" w:rsidP="00702179">
                  <w:pPr>
                    <w:shd w:val="clear" w:color="auto" w:fill="FFFFFF"/>
                  </w:pPr>
                  <w:r w:rsidRPr="00702179">
                    <w:t>Чистка и уборка производственных и жилых помещений и оборудования;</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Конкурс (тендер) объявлен:</w:t>
                  </w:r>
                </w:p>
              </w:tc>
              <w:tc>
                <w:tcPr>
                  <w:tcW w:w="0" w:type="auto"/>
                  <w:hideMark/>
                </w:tcPr>
                <w:p w:rsidR="00702179" w:rsidRPr="00702179" w:rsidRDefault="00702179" w:rsidP="00702179">
                  <w:r w:rsidRPr="00702179">
                    <w:t>17.10.2013 11:22</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Сроки поставки:</w:t>
                  </w:r>
                </w:p>
              </w:tc>
              <w:tc>
                <w:tcPr>
                  <w:tcW w:w="0" w:type="auto"/>
                  <w:shd w:val="clear" w:color="auto" w:fill="F7F7F7"/>
                  <w:hideMark/>
                </w:tcPr>
                <w:p w:rsidR="00702179" w:rsidRPr="00702179" w:rsidRDefault="00702179" w:rsidP="00702179">
                  <w:r w:rsidRPr="00702179">
                    <w:rPr>
                      <w:b/>
                      <w:bCs/>
                    </w:rPr>
                    <w:t>2014 Год</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Почтовый адрес заказчика:</w:t>
                  </w:r>
                </w:p>
              </w:tc>
              <w:tc>
                <w:tcPr>
                  <w:tcW w:w="0" w:type="auto"/>
                  <w:hideMark/>
                </w:tcPr>
                <w:p w:rsidR="00702179" w:rsidRPr="00702179" w:rsidRDefault="00702179" w:rsidP="00702179">
                  <w:r w:rsidRPr="00702179">
                    <w:t>628617, Ханты-Мансийский Автономный округ - Югра, Тюменская область, г. Нижневартовск, ул. Пермская, 22</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Местонахождение заказчика:</w:t>
                  </w:r>
                </w:p>
              </w:tc>
              <w:tc>
                <w:tcPr>
                  <w:tcW w:w="0" w:type="auto"/>
                  <w:shd w:val="clear" w:color="auto" w:fill="F7F7F7"/>
                  <w:hideMark/>
                </w:tcPr>
                <w:p w:rsidR="00702179" w:rsidRPr="00702179" w:rsidRDefault="00702179" w:rsidP="00702179">
                  <w:r w:rsidRPr="00702179">
                    <w:t>628617, Ханты-Мансийский Автономный округ - Югра, Тюменская область, г. Нижневартовск, ул. Пермская, 22</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Контактное лицо:</w:t>
                  </w:r>
                </w:p>
              </w:tc>
              <w:tc>
                <w:tcPr>
                  <w:tcW w:w="0" w:type="auto"/>
                  <w:hideMark/>
                </w:tcPr>
                <w:p w:rsidR="00702179" w:rsidRPr="00702179" w:rsidRDefault="00702179" w:rsidP="00702179">
                  <w:hyperlink r:id="rId14" w:tgtFrame="_blank" w:tooltip="Отправить личное сообщение" w:history="1">
                    <w:r w:rsidRPr="00702179">
                      <w:rPr>
                        <w:color w:val="1C50A4"/>
                        <w:u w:val="single"/>
                      </w:rPr>
                      <w:t>Черных Юлия Николаевна</w:t>
                    </w:r>
                  </w:hyperlink>
                  <w:r w:rsidRPr="00702179">
                    <w:t>, тел.+7 (3466) 48-42-83, </w:t>
                  </w:r>
                  <w:hyperlink r:id="rId15" w:history="1">
                    <w:r w:rsidRPr="00702179">
                      <w:rPr>
                        <w:color w:val="1C50A4"/>
                        <w:u w:val="single"/>
                      </w:rPr>
                      <w:t>ChernyhYN@vartanet.ru</w:t>
                    </w:r>
                  </w:hyperlink>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Конкурсная комиссия:</w:t>
                  </w:r>
                </w:p>
              </w:tc>
              <w:tc>
                <w:tcPr>
                  <w:tcW w:w="0" w:type="auto"/>
                  <w:shd w:val="clear" w:color="auto" w:fill="F7F7F7"/>
                  <w:hideMark/>
                </w:tcPr>
                <w:p w:rsidR="00702179" w:rsidRPr="00702179" w:rsidRDefault="00702179" w:rsidP="00702179">
                  <w:proofErr w:type="gramStart"/>
                  <w:r w:rsidRPr="00702179">
                    <w:t>Назначена</w:t>
                  </w:r>
                  <w:proofErr w:type="gramEnd"/>
                  <w:r w:rsidRPr="00702179">
                    <w:t xml:space="preserve"> приказом ОАО "</w:t>
                  </w:r>
                  <w:proofErr w:type="spellStart"/>
                  <w:r w:rsidRPr="00702179">
                    <w:t>Тюменьэнерго</w:t>
                  </w:r>
                  <w:proofErr w:type="spellEnd"/>
                  <w:r w:rsidRPr="00702179">
                    <w:t>" от 16.09.2013 № 386</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Требования к участникам:</w:t>
                  </w:r>
                </w:p>
              </w:tc>
              <w:tc>
                <w:tcPr>
                  <w:tcW w:w="0" w:type="auto"/>
                  <w:hideMark/>
                </w:tcPr>
                <w:p w:rsidR="00702179" w:rsidRPr="00702179" w:rsidRDefault="00702179" w:rsidP="00702179">
                  <w:r w:rsidRPr="00702179">
                    <w:t>1. Участник должен обладать гражданской правоспособностью в полном объеме для заключения и исполнения Договора </w:t>
                  </w:r>
                  <w:r w:rsidRPr="00702179">
                    <w:br/>
                  </w:r>
                  <w:r w:rsidRPr="00702179">
                    <w:br/>
                    <w:t>2. Участник должен обладать необходимыми кадровыми ресурсами: </w:t>
                  </w:r>
                  <w:r w:rsidRPr="00702179">
                    <w:br/>
                    <w:t>- Руководитель – не менее 1 чел.;</w:t>
                  </w:r>
                  <w:r w:rsidRPr="00702179">
                    <w:br/>
                    <w:t>- Плотник – столяр (4-5 раз.) – не менее 2 чел.;</w:t>
                  </w:r>
                  <w:r w:rsidRPr="00702179">
                    <w:br/>
                    <w:t>- Уборщик прилегающих территорий – не менее 12 чел.;</w:t>
                  </w:r>
                  <w:r w:rsidRPr="00702179">
                    <w:br/>
                    <w:t xml:space="preserve">- Уборщик </w:t>
                  </w:r>
                  <w:proofErr w:type="spellStart"/>
                  <w:r w:rsidRPr="00702179">
                    <w:t>служебно</w:t>
                  </w:r>
                  <w:proofErr w:type="spellEnd"/>
                  <w:r w:rsidRPr="00702179">
                    <w:t xml:space="preserve"> – бытовых помещений – не менее 34 чел.;</w:t>
                  </w:r>
                  <w:r w:rsidRPr="00702179">
                    <w:br/>
                    <w:t>- Уборщик производственных помещений – не менее 14 чел.</w:t>
                  </w:r>
                  <w:r w:rsidRPr="00702179">
                    <w:br/>
                    <w:t xml:space="preserve">3. Персонал Участника должен пройти обучение по безопасности труда, проверку знаний общих требований промышленной безопасности, иметь 2 группу по электробезопасности и средства индивидуальной защиты от общих производственных загрязнений для оказания услуг по договору (требования ПОТ </w:t>
                  </w:r>
                  <w:proofErr w:type="gramStart"/>
                  <w:r w:rsidRPr="00702179">
                    <w:t>Р</w:t>
                  </w:r>
                  <w:proofErr w:type="gramEnd"/>
                  <w:r w:rsidRPr="00702179">
                    <w:t xml:space="preserve"> М-016-2001; РД 153-34.0-03.150-00 п.2.3.13). Участник должен предоставить заверенные участником копии удостоверений на персонал, имеющий 2 группу по электробезопасности.</w:t>
                  </w:r>
                  <w:r w:rsidRPr="00702179">
                    <w:br/>
                    <w:t xml:space="preserve">4. Участник должен иметь аттестованную в органах </w:t>
                  </w:r>
                  <w:proofErr w:type="spellStart"/>
                  <w:r w:rsidRPr="00702179">
                    <w:t>Ростехнадзора</w:t>
                  </w:r>
                  <w:proofErr w:type="spellEnd"/>
                  <w:r w:rsidRPr="00702179">
                    <w:t xml:space="preserve"> </w:t>
                  </w:r>
                  <w:r w:rsidRPr="00702179">
                    <w:lastRenderedPageBreak/>
                    <w:t xml:space="preserve">комиссию для проверки знаний у электротехнического и </w:t>
                  </w:r>
                  <w:proofErr w:type="spellStart"/>
                  <w:r w:rsidRPr="00702179">
                    <w:t>электротехнологического</w:t>
                  </w:r>
                  <w:proofErr w:type="spellEnd"/>
                  <w:r w:rsidRPr="00702179">
                    <w:t xml:space="preserve"> персонала (предоставить копии Протоколов проверки знаний и Приказа о создании комиссии)</w:t>
                  </w:r>
                  <w:proofErr w:type="gramStart"/>
                  <w:r w:rsidRPr="00702179">
                    <w:t>.</w:t>
                  </w:r>
                  <w:proofErr w:type="gramEnd"/>
                  <w:r w:rsidRPr="00702179">
                    <w:t xml:space="preserve"> (</w:t>
                  </w:r>
                  <w:proofErr w:type="gramStart"/>
                  <w:r w:rsidRPr="00702179">
                    <w:t>з</w:t>
                  </w:r>
                  <w:proofErr w:type="gramEnd"/>
                  <w:r w:rsidRPr="00702179">
                    <w:t>аверенные Участником)</w:t>
                  </w:r>
                  <w:r w:rsidRPr="00702179">
                    <w:br/>
                    <w:t>5. Комплектация материальными и техническими ресурсами производится в полном объеме участником, оказывающим услуги.</w:t>
                  </w:r>
                  <w:r w:rsidRPr="00702179">
                    <w:br/>
                    <w:t xml:space="preserve">6. В случае победы Участника, до заключения договора ему необходимо предоставить заверенные Участником копии паспортов, копии трудовых книжек (трудовых договоров) на персонал, привлекаемый для оказания услуг по договору. Данные сведения о персонале будут использоваться в соответствии с п.2.1.2 Договора для подготовки допусков и пропусков на объекты Заказчика на основании Положения о пропускном и </w:t>
                  </w:r>
                  <w:proofErr w:type="spellStart"/>
                  <w:r w:rsidRPr="00702179">
                    <w:t>внутриобъектовом</w:t>
                  </w:r>
                  <w:proofErr w:type="spellEnd"/>
                  <w:r w:rsidRPr="00702179">
                    <w:t xml:space="preserve"> режиме на объектах филиала ОАО «</w:t>
                  </w:r>
                  <w:proofErr w:type="spellStart"/>
                  <w:r w:rsidRPr="00702179">
                    <w:t>Тюменьэнерго</w:t>
                  </w:r>
                  <w:proofErr w:type="spellEnd"/>
                  <w:r w:rsidRPr="00702179">
                    <w:t xml:space="preserve">» </w:t>
                  </w:r>
                  <w:proofErr w:type="spellStart"/>
                  <w:r w:rsidRPr="00702179">
                    <w:t>Нижневартовские</w:t>
                  </w:r>
                  <w:proofErr w:type="spellEnd"/>
                  <w:r w:rsidRPr="00702179">
                    <w:t xml:space="preserve"> электрические сети, утвержденного Приказом от 11.04.2013 г. №81 «Об утверждении организационно-распорядительных документов по безопасности. Так же Участник должен будет предоставить индивидуальные Согласия на обработку персональных данных работников, привлекаемых для оказания услуг по договору (по прилагаемой в КД форме 13).</w:t>
                  </w:r>
                  <w:r w:rsidRPr="00702179">
                    <w:br/>
                    <w:t>Весь привлекаемый по договору персонал должен пройти проверку Службы безопасности ОАО «</w:t>
                  </w:r>
                  <w:proofErr w:type="spellStart"/>
                  <w:r w:rsidRPr="00702179">
                    <w:t>Тюменьэнерго</w:t>
                  </w:r>
                  <w:proofErr w:type="spellEnd"/>
                  <w:r w:rsidRPr="00702179">
                    <w:t>».</w:t>
                  </w:r>
                  <w:r w:rsidRPr="00702179">
                    <w:br/>
                    <w:t>7. Персонал, привлекаемый для оказания услуг по договору, должен иметь гражданство РФ, не должен быть привлеченным к уголовной и/или административной ответственности за совершенные умышленно уголовно-наказуемые деяния и/или административные правонарушения, не должен состоять на учете в психоневрологическом диспансере.</w:t>
                  </w:r>
                  <w:r w:rsidRPr="00702179">
                    <w:br/>
                  </w:r>
                  <w:r w:rsidRPr="00702179">
                    <w:br/>
                    <w:t>8. Участник должен обладать необходимыми основными машинами и механизмами: В связи с большим количеством снега в зимнее время и большой прилегающей территорией, для уборки в период с января по апрель и с октября по декабрь необходимо наличие транспортных средств: </w:t>
                  </w:r>
                  <w:r w:rsidRPr="00702179">
                    <w:br/>
                    <w:t xml:space="preserve">Автогрейдер или трактор Т-150 на </w:t>
                  </w:r>
                  <w:proofErr w:type="spellStart"/>
                  <w:r w:rsidRPr="00702179">
                    <w:t>пневмоходу</w:t>
                  </w:r>
                  <w:proofErr w:type="spellEnd"/>
                  <w:r w:rsidRPr="00702179">
                    <w:t xml:space="preserve"> – не менее 2 ед., трактор ДТ-75 (или аналог) не менее 1 ед.;</w:t>
                  </w:r>
                  <w:r w:rsidRPr="00702179">
                    <w:br/>
                    <w:t>экскаватор 3323 (или аналог) не менее 1 ед.</w:t>
                  </w:r>
                  <w:r w:rsidRPr="00702179">
                    <w:br/>
                    <w:t>Для ежедневной уборки снега в зимнее время необходимы: МТЗ-80 или погрузчик ПК-22 (или аналог) не менее 1 ед., самосвал для вывоза снега - не менее 1 ед.</w:t>
                  </w:r>
                  <w:r w:rsidRPr="00702179">
                    <w:br/>
                  </w:r>
                  <w:r w:rsidRPr="00702179">
                    <w:br/>
                    <w:t>Необходимость замены указанных машин и механизмов должна быть обоснована в конкурсном предложении участника</w:t>
                  </w:r>
                  <w:r w:rsidRPr="00702179">
                    <w:br/>
                  </w:r>
                  <w:r w:rsidRPr="00702179">
                    <w:br/>
                    <w:t xml:space="preserve">9. </w:t>
                  </w:r>
                  <w:proofErr w:type="gramStart"/>
                  <w:r w:rsidRPr="00702179">
                    <w:t xml:space="preserve">Участник должен иметь в наличии специализированный транспорт (собственный или арендованный), с местом базирования - г. Нижневартовск или </w:t>
                  </w:r>
                  <w:proofErr w:type="spellStart"/>
                  <w:r w:rsidRPr="00702179">
                    <w:t>Нижневартовский</w:t>
                  </w:r>
                  <w:proofErr w:type="spellEnd"/>
                  <w:r w:rsidRPr="00702179">
                    <w:t xml:space="preserve"> район, г. Радужный) для доставки своих работников до места оказания услуг и обратно.</w:t>
                  </w:r>
                  <w:r w:rsidRPr="00702179">
                    <w:br/>
                    <w:t>10.</w:t>
                  </w:r>
                  <w:proofErr w:type="gramEnd"/>
                  <w:r w:rsidRPr="00702179">
                    <w:t xml:space="preserve"> Участник должен иметь удостоверения на обученного и аттестованного в органах </w:t>
                  </w:r>
                  <w:proofErr w:type="spellStart"/>
                  <w:r w:rsidRPr="00702179">
                    <w:t>Ростехнадзора</w:t>
                  </w:r>
                  <w:proofErr w:type="spellEnd"/>
                  <w:r w:rsidRPr="00702179">
                    <w:t xml:space="preserve"> персонала (не менее 1-го человека) для работы в люльках подъемников (вышках). (Заверенную Участником копию)</w:t>
                  </w:r>
                  <w:r w:rsidRPr="00702179">
                    <w:br/>
                    <w:t xml:space="preserve">11. Участник должен иметь удостоверения на обученного и аттестованного в органах </w:t>
                  </w:r>
                  <w:proofErr w:type="spellStart"/>
                  <w:r w:rsidRPr="00702179">
                    <w:t>Ростехнадзора</w:t>
                  </w:r>
                  <w:proofErr w:type="spellEnd"/>
                  <w:r w:rsidRPr="00702179">
                    <w:t xml:space="preserve"> персонала (не менее 1-го </w:t>
                  </w:r>
                  <w:r w:rsidRPr="00702179">
                    <w:lastRenderedPageBreak/>
                    <w:t>человека), ответственного за безопасное производство работ подъемными сооружениями (кранами, вышками, кранами-манипуляторами). (Заверенную Участником копию)</w:t>
                  </w:r>
                  <w:r w:rsidRPr="00702179">
                    <w:br/>
                    <w:t xml:space="preserve">12.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702179">
                    <w:t>за</w:t>
                  </w:r>
                  <w:proofErr w:type="gramEnd"/>
                  <w:r w:rsidRPr="00702179">
                    <w:t xml:space="preserve"> последние 3 года</w:t>
                  </w:r>
                  <w:r w:rsidRPr="00702179">
                    <w:br/>
                    <w:t xml:space="preserve">13. Участнику конкурса желательно иметь положительную репутацию, подтвержденную отзывами о выполнении аналогичных договоров за </w:t>
                  </w:r>
                  <w:proofErr w:type="gramStart"/>
                  <w:r w:rsidRPr="00702179">
                    <w:t>последние</w:t>
                  </w:r>
                  <w:proofErr w:type="gramEnd"/>
                  <w:r w:rsidRPr="00702179">
                    <w:t xml:space="preserve"> 3 года</w:t>
                  </w:r>
                  <w:r w:rsidRPr="00702179">
                    <w:br/>
                  </w:r>
                  <w:r w:rsidRPr="00702179">
                    <w:br/>
                    <w:t xml:space="preserve">14. </w:t>
                  </w:r>
                  <w:proofErr w:type="gramStart"/>
                  <w:r w:rsidRPr="00702179">
                    <w:t>Требования к благонадежности Участника, члена коллективного Участника, субподрядчика</w:t>
                  </w:r>
                  <w:r w:rsidRPr="00702179">
                    <w:br/>
                    <w:t>а) участник должен дать согласие на проведение проверки благонадежности Службой экономической безопасности ОАО «</w:t>
                  </w:r>
                  <w:proofErr w:type="spellStart"/>
                  <w:r w:rsidRPr="00702179">
                    <w:t>Тюменьэнерго</w:t>
                  </w:r>
                  <w:proofErr w:type="spellEnd"/>
                  <w:r w:rsidRPr="00702179">
                    <w:t>»;</w:t>
                  </w:r>
                  <w:r w:rsidRPr="00702179">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02179">
                    <w:br/>
                    <w:t>в) деятельность Участника должна быть безубыточной за последний завершенный год;</w:t>
                  </w:r>
                  <w:proofErr w:type="gramEnd"/>
                  <w:r w:rsidRPr="00702179">
                    <w:br/>
                  </w:r>
                  <w:proofErr w:type="gramStart"/>
                  <w:r w:rsidRPr="00702179">
                    <w:t>г) экономическая деятельности Участника не должна быть приостановлена в административном порядке;</w:t>
                  </w:r>
                  <w:r w:rsidRPr="00702179">
                    <w:br/>
                    <w:t>д) участник не должен иметь задолженность по уплате налогов;</w:t>
                  </w:r>
                  <w:r w:rsidRPr="00702179">
                    <w:br/>
                    <w:t>е) на имущество Участника не должен быть наложен арест;</w:t>
                  </w:r>
                  <w:r w:rsidRPr="00702179">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702179">
                    <w:br/>
                  </w:r>
                  <w:proofErr w:type="gramStart"/>
                  <w:r w:rsidRPr="00702179">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702179">
                    <w:t xml:space="preserve"> муниципальных нужд";</w:t>
                  </w:r>
                  <w:r w:rsidRPr="00702179">
                    <w:br/>
                    <w:t>и) участник не должен быть аффилирован к ОАО «</w:t>
                  </w:r>
                  <w:proofErr w:type="spellStart"/>
                  <w:r w:rsidRPr="00702179">
                    <w:t>Тюменьэнерго</w:t>
                  </w:r>
                  <w:proofErr w:type="spellEnd"/>
                  <w:r w:rsidRPr="00702179">
                    <w:t>»;</w:t>
                  </w:r>
                  <w:r w:rsidRPr="00702179">
                    <w:br/>
                    <w:t>к) участник не должен быть аффилирован к другим участникам регламентированной закупочной процедуры;</w:t>
                  </w:r>
                  <w:r w:rsidRPr="00702179">
                    <w:br/>
                  </w:r>
                  <w:proofErr w:type="gramStart"/>
                  <w:r w:rsidRPr="00702179">
                    <w:t>л) отсутствие у ОАО "</w:t>
                  </w:r>
                  <w:proofErr w:type="spellStart"/>
                  <w:r w:rsidRPr="00702179">
                    <w:t>Тюменьэнерго</w:t>
                  </w:r>
                  <w:proofErr w:type="spellEnd"/>
                  <w:r w:rsidRPr="00702179">
                    <w:t>" информации о неисполнении/ненадлежащем исполнении Участником договорных обязательств по заключенным с ОАО «</w:t>
                  </w:r>
                  <w:proofErr w:type="spellStart"/>
                  <w:r w:rsidRPr="00702179">
                    <w:t>Тюменьэнерго</w:t>
                  </w:r>
                  <w:proofErr w:type="spellEnd"/>
                  <w:r w:rsidRPr="00702179">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02179">
                    <w:br/>
                    <w:t>м) Отсутствие сведений о предстоящем исключении контрагента из ЕГРЮЛ/ЕГРИП;</w:t>
                  </w:r>
                  <w:proofErr w:type="gramEnd"/>
                  <w:r w:rsidRPr="00702179">
                    <w:br/>
                    <w:t>н) Отсутствие фактов предоставления недостоверных сведений и документов в рамках закупочной процедуры;</w:t>
                  </w:r>
                  <w:r w:rsidRPr="00702179">
                    <w:br/>
                    <w:t xml:space="preserve">о) Субподрядчики/соисполнители/субпоставщики, заявленные </w:t>
                  </w:r>
                  <w:r w:rsidRPr="00702179">
                    <w:lastRenderedPageBreak/>
                    <w:t>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702179">
                    <w:br/>
                  </w:r>
                  <w:r w:rsidRPr="00702179">
                    <w:br/>
                    <w:t>Результат проверки благонадежности Участника закупки оформляется заключением СЭБ ОАО "</w:t>
                  </w:r>
                  <w:proofErr w:type="spellStart"/>
                  <w:r w:rsidRPr="00702179">
                    <w:t>Тюменьэнерго</w:t>
                  </w:r>
                  <w:proofErr w:type="spellEnd"/>
                  <w:r w:rsidRPr="00702179">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02179">
                    <w:t>Тюменьэнерго</w:t>
                  </w:r>
                  <w:proofErr w:type="spellEnd"/>
                  <w:r w:rsidRPr="00702179">
                    <w:t>" (СЭБ ОАО "</w:t>
                  </w:r>
                  <w:proofErr w:type="spellStart"/>
                  <w:r w:rsidRPr="00702179">
                    <w:t>Тюменьэнерго</w:t>
                  </w:r>
                  <w:proofErr w:type="spellEnd"/>
                  <w:r w:rsidRPr="00702179">
                    <w:t>").</w:t>
                  </w:r>
                  <w:r w:rsidRPr="00702179">
                    <w:br/>
                  </w:r>
                  <w:r w:rsidRPr="00702179">
                    <w:br/>
                    <w:t>15. Техническое и коммерческое предложения должны соответствовать требованиям Заказчика</w:t>
                  </w:r>
                  <w:proofErr w:type="gramStart"/>
                  <w:r w:rsidRPr="00702179">
                    <w:br/>
                  </w:r>
                  <w:r w:rsidRPr="00702179">
                    <w:br/>
                  </w:r>
                  <w:r w:rsidRPr="00702179">
                    <w:br/>
                    <w:t>Б</w:t>
                  </w:r>
                  <w:proofErr w:type="gramEnd"/>
                  <w:r w:rsidRPr="00702179">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lastRenderedPageBreak/>
                    <w:t>Комплект конкурсной документации:</w:t>
                  </w:r>
                </w:p>
              </w:tc>
              <w:tc>
                <w:tcPr>
                  <w:tcW w:w="0" w:type="auto"/>
                  <w:shd w:val="clear" w:color="auto" w:fill="F7F7F7"/>
                  <w:hideMark/>
                </w:tcPr>
                <w:p w:rsidR="00702179" w:rsidRPr="00702179" w:rsidRDefault="00702179" w:rsidP="00702179">
                  <w:r w:rsidRPr="00702179">
                    <w:t>Конкурсную документацию Участники могут получить на Официальном сайте РФ – www.zakupki.gov.ru, электронн</w:t>
                  </w:r>
                  <w:proofErr w:type="gramStart"/>
                  <w:r w:rsidRPr="00702179">
                    <w:t>о-</w:t>
                  </w:r>
                  <w:proofErr w:type="gramEnd"/>
                  <w:r w:rsidRPr="00702179">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Конкурсная документация:</w:t>
                  </w:r>
                </w:p>
              </w:tc>
              <w:tc>
                <w:tcPr>
                  <w:tcW w:w="0" w:type="auto"/>
                  <w:hideMark/>
                </w:tcPr>
                <w:p w:rsidR="00702179" w:rsidRPr="00702179" w:rsidRDefault="00702179" w:rsidP="00702179">
                  <w:hyperlink r:id="rId16" w:tgtFrame="_blank" w:history="1">
                    <w:r w:rsidRPr="00702179">
                      <w:rPr>
                        <w:color w:val="1C50A4"/>
                        <w:u w:val="single"/>
                      </w:rPr>
                      <w:t>Скачать файл</w:t>
                    </w:r>
                    <w:r w:rsidRPr="00702179">
                      <w:rPr>
                        <w:color w:val="1C50A4"/>
                      </w:rPr>
                      <w:t> </w:t>
                    </w:r>
                    <w:r w:rsidRPr="00702179">
                      <w:rPr>
                        <w:b/>
                        <w:bCs/>
                        <w:color w:val="1C50A4"/>
                        <w:u w:val="single"/>
                      </w:rPr>
                      <w:t>КД.zip</w:t>
                    </w:r>
                  </w:hyperlink>
                  <w:r w:rsidRPr="00702179">
                    <w:t> (5.5 Мб)</w:t>
                  </w:r>
                </w:p>
                <w:p w:rsidR="00702179" w:rsidRPr="00702179" w:rsidRDefault="00702179" w:rsidP="00702179">
                  <w:hyperlink r:id="rId17" w:history="1">
                    <w:r w:rsidRPr="00702179">
                      <w:rPr>
                        <w:b/>
                        <w:bCs/>
                        <w:color w:val="1C50A4"/>
                        <w:u w:val="single"/>
                      </w:rPr>
                      <w:t>Редактировать конкурсную документацию</w:t>
                    </w:r>
                  </w:hyperlink>
                </w:p>
                <w:p w:rsidR="00702179" w:rsidRPr="00702179" w:rsidRDefault="00702179" w:rsidP="00702179">
                  <w:hyperlink r:id="rId18" w:tgtFrame="signature" w:history="1">
                    <w:r w:rsidRPr="00702179">
                      <w:rPr>
                        <w:color w:val="1C50A4"/>
                        <w:u w:val="single"/>
                      </w:rPr>
                      <w:t>Подписана ЭП</w:t>
                    </w:r>
                  </w:hyperlink>
                </w:p>
                <w:p w:rsidR="00702179" w:rsidRPr="00702179" w:rsidRDefault="00702179" w:rsidP="00702179">
                  <w:hyperlink r:id="rId19" w:history="1">
                    <w:r w:rsidRPr="00702179">
                      <w:rPr>
                        <w:color w:val="1C50A4"/>
                        <w:u w:val="single"/>
                      </w:rPr>
                      <w:t>Перевести документацию на другой язык</w:t>
                    </w:r>
                  </w:hyperlink>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Порядок предоставления конкурсной документации:</w:t>
                  </w:r>
                </w:p>
              </w:tc>
              <w:tc>
                <w:tcPr>
                  <w:tcW w:w="0" w:type="auto"/>
                  <w:shd w:val="clear" w:color="auto" w:fill="F7F7F7"/>
                  <w:hideMark/>
                </w:tcPr>
                <w:p w:rsidR="00702179" w:rsidRPr="00702179" w:rsidRDefault="00702179" w:rsidP="00702179">
                  <w:r w:rsidRPr="00702179">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02179">
                    <w:t>с даты размещения</w:t>
                  </w:r>
                  <w:proofErr w:type="gramEnd"/>
                  <w:r w:rsidRPr="00702179">
                    <w:t xml:space="preserve"> закупки.</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Обеспечение конкурсных заявок, кроме банковских гарантий:</w:t>
                  </w:r>
                </w:p>
              </w:tc>
              <w:tc>
                <w:tcPr>
                  <w:tcW w:w="0" w:type="auto"/>
                  <w:hideMark/>
                </w:tcPr>
                <w:p w:rsidR="00702179" w:rsidRPr="00702179" w:rsidRDefault="00702179" w:rsidP="00702179">
                  <w:r w:rsidRPr="00702179">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Конкурсные заявки:</w:t>
                  </w:r>
                </w:p>
              </w:tc>
              <w:tc>
                <w:tcPr>
                  <w:tcW w:w="0" w:type="auto"/>
                  <w:shd w:val="clear" w:color="auto" w:fill="F7F7F7"/>
                  <w:hideMark/>
                </w:tcPr>
                <w:p w:rsidR="00702179" w:rsidRPr="00702179" w:rsidRDefault="00702179" w:rsidP="00702179">
                  <w:r w:rsidRPr="00702179">
                    <w:t>Все документы, входящие в Конкурсную заявку должны быть подготовлены на русском языке. Все суммы денежных сре</w:t>
                  </w:r>
                  <w:proofErr w:type="gramStart"/>
                  <w:r w:rsidRPr="00702179">
                    <w:t>дств в д</w:t>
                  </w:r>
                  <w:proofErr w:type="gramEnd"/>
                  <w:r w:rsidRPr="00702179">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lastRenderedPageBreak/>
                    <w:t>При выборе победителя учитывается:</w:t>
                  </w:r>
                </w:p>
              </w:tc>
              <w:tc>
                <w:tcPr>
                  <w:tcW w:w="0" w:type="auto"/>
                  <w:hideMark/>
                </w:tcPr>
                <w:p w:rsidR="00702179" w:rsidRPr="00702179" w:rsidRDefault="00702179" w:rsidP="00702179">
                  <w:r w:rsidRPr="00702179">
                    <w:t>Цена с НДС</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Место вскрытия конвертов:</w:t>
                  </w:r>
                </w:p>
              </w:tc>
              <w:tc>
                <w:tcPr>
                  <w:tcW w:w="0" w:type="auto"/>
                  <w:shd w:val="clear" w:color="auto" w:fill="F7F7F7"/>
                  <w:hideMark/>
                </w:tcPr>
                <w:p w:rsidR="00702179" w:rsidRPr="00702179" w:rsidRDefault="00702179" w:rsidP="00702179">
                  <w:r w:rsidRPr="00702179">
                    <w:t>Вскрытие конвертов с заявками состоится на сайте системы электронных торгов группы B2B-Center (www.b2b-center.ru).</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Дата вскрытия конвертов (крайний срок подачи конкурсных заявок):</w:t>
                  </w:r>
                </w:p>
              </w:tc>
              <w:tc>
                <w:tcPr>
                  <w:tcW w:w="0" w:type="auto"/>
                  <w:hideMark/>
                </w:tcPr>
                <w:p w:rsidR="00702179" w:rsidRPr="00702179" w:rsidRDefault="00702179" w:rsidP="00702179">
                  <w:r w:rsidRPr="00702179">
                    <w:t>Вскрытие конвертов с заявками состоится </w:t>
                  </w:r>
                  <w:r w:rsidRPr="00702179">
                    <w:rPr>
                      <w:b/>
                      <w:bCs/>
                    </w:rPr>
                    <w:t>07.11.2013 в 09:00 по московскому времени</w:t>
                  </w:r>
                  <w:r w:rsidRPr="00702179">
                    <w:t>.</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Дата рассмотрения предложений:</w:t>
                  </w:r>
                </w:p>
              </w:tc>
              <w:tc>
                <w:tcPr>
                  <w:tcW w:w="0" w:type="auto"/>
                  <w:shd w:val="clear" w:color="auto" w:fill="F7F7F7"/>
                  <w:hideMark/>
                </w:tcPr>
                <w:p w:rsidR="00702179" w:rsidRPr="00702179" w:rsidRDefault="00702179" w:rsidP="00702179">
                  <w:r w:rsidRPr="00702179">
                    <w:t>26.11.2013 15:00</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Место рассмотрения предложений:</w:t>
                  </w:r>
                </w:p>
              </w:tc>
              <w:tc>
                <w:tcPr>
                  <w:tcW w:w="0" w:type="auto"/>
                  <w:hideMark/>
                </w:tcPr>
                <w:p w:rsidR="00702179" w:rsidRPr="00702179" w:rsidRDefault="00702179" w:rsidP="00702179">
                  <w:r w:rsidRPr="00702179">
                    <w:t>628617, ХМАО-Югра, Тюменская область, г. Нижневартовск, ул. Пермская, 22</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Дата и время подведения итогов:</w:t>
                  </w:r>
                </w:p>
              </w:tc>
              <w:tc>
                <w:tcPr>
                  <w:tcW w:w="0" w:type="auto"/>
                  <w:shd w:val="clear" w:color="auto" w:fill="F7F7F7"/>
                  <w:hideMark/>
                </w:tcPr>
                <w:p w:rsidR="00702179" w:rsidRPr="00702179" w:rsidRDefault="00702179" w:rsidP="00702179">
                  <w:r w:rsidRPr="00702179">
                    <w:t>06.12.2013 15:00</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Место подведения итогов:</w:t>
                  </w:r>
                </w:p>
              </w:tc>
              <w:tc>
                <w:tcPr>
                  <w:tcW w:w="0" w:type="auto"/>
                  <w:hideMark/>
                </w:tcPr>
                <w:p w:rsidR="00702179" w:rsidRPr="00702179" w:rsidRDefault="00702179" w:rsidP="00702179">
                  <w:r w:rsidRPr="00702179">
                    <w:t>628617, ХМАО-Югра, Тюменская область, г. Нижневартовск, ул. Пермская, 22</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Победитель конкурса:</w:t>
                  </w:r>
                </w:p>
              </w:tc>
              <w:tc>
                <w:tcPr>
                  <w:tcW w:w="0" w:type="auto"/>
                  <w:shd w:val="clear" w:color="auto" w:fill="F7F7F7"/>
                  <w:hideMark/>
                </w:tcPr>
                <w:p w:rsidR="00702179" w:rsidRPr="00702179" w:rsidRDefault="00702179" w:rsidP="00702179">
                  <w:r w:rsidRPr="00702179">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02179">
                    <w:t>ранжировке</w:t>
                  </w:r>
                  <w:proofErr w:type="spellEnd"/>
                  <w:r w:rsidRPr="00702179">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Лимитная (начальная) цена закупки:</w:t>
                  </w:r>
                </w:p>
              </w:tc>
              <w:tc>
                <w:tcPr>
                  <w:tcW w:w="0" w:type="auto"/>
                  <w:hideMark/>
                </w:tcPr>
                <w:p w:rsidR="00702179" w:rsidRPr="00702179" w:rsidRDefault="00702179" w:rsidP="00702179">
                  <w:r w:rsidRPr="00702179">
                    <w:t>Лот № 1. 32 535 571,83 руб. (цена с НДС)</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Переторжка (регулирование цены):</w:t>
                  </w:r>
                </w:p>
              </w:tc>
              <w:tc>
                <w:tcPr>
                  <w:tcW w:w="0" w:type="auto"/>
                  <w:shd w:val="clear" w:color="auto" w:fill="F7F7F7"/>
                  <w:hideMark/>
                </w:tcPr>
                <w:p w:rsidR="00702179" w:rsidRPr="00702179" w:rsidRDefault="00702179" w:rsidP="00702179">
                  <w:r w:rsidRPr="00702179">
                    <w:t>Организатор конкурса намерен воспользоваться правом на проведение переторжки (регулирования цены).</w:t>
                  </w:r>
                </w:p>
              </w:tc>
            </w:tr>
            <w:tr w:rsidR="00702179" w:rsidRPr="00702179">
              <w:trPr>
                <w:tblCellSpacing w:w="0" w:type="dxa"/>
              </w:trPr>
              <w:tc>
                <w:tcPr>
                  <w:tcW w:w="0" w:type="auto"/>
                  <w:hideMark/>
                </w:tcPr>
                <w:p w:rsidR="00702179" w:rsidRPr="00702179" w:rsidRDefault="00702179" w:rsidP="00702179">
                  <w:pPr>
                    <w:jc w:val="right"/>
                    <w:rPr>
                      <w:sz w:val="18"/>
                      <w:szCs w:val="18"/>
                    </w:rPr>
                  </w:pPr>
                  <w:r w:rsidRPr="00702179">
                    <w:rPr>
                      <w:sz w:val="18"/>
                      <w:szCs w:val="18"/>
                    </w:rPr>
                    <w:t>Дополнительная информация о конкурсе:</w:t>
                  </w:r>
                </w:p>
              </w:tc>
              <w:tc>
                <w:tcPr>
                  <w:tcW w:w="0" w:type="auto"/>
                  <w:hideMark/>
                </w:tcPr>
                <w:p w:rsidR="00702179" w:rsidRPr="00702179" w:rsidRDefault="00702179" w:rsidP="00702179">
                  <w:r w:rsidRPr="00702179">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702179">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02179">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02179">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02179" w:rsidRPr="00702179">
              <w:trPr>
                <w:tblCellSpacing w:w="0" w:type="dxa"/>
              </w:trPr>
              <w:tc>
                <w:tcPr>
                  <w:tcW w:w="0" w:type="auto"/>
                  <w:shd w:val="clear" w:color="auto" w:fill="F7F7F7"/>
                  <w:hideMark/>
                </w:tcPr>
                <w:p w:rsidR="00702179" w:rsidRPr="00702179" w:rsidRDefault="00702179" w:rsidP="00702179">
                  <w:pPr>
                    <w:jc w:val="right"/>
                    <w:rPr>
                      <w:sz w:val="18"/>
                      <w:szCs w:val="18"/>
                    </w:rPr>
                  </w:pPr>
                  <w:r w:rsidRPr="00702179">
                    <w:rPr>
                      <w:sz w:val="18"/>
                      <w:szCs w:val="18"/>
                    </w:rPr>
                    <w:t>Адрес места поставки товара, проведения работ или оказания услуг:</w:t>
                  </w:r>
                </w:p>
              </w:tc>
              <w:tc>
                <w:tcPr>
                  <w:tcW w:w="0" w:type="auto"/>
                  <w:shd w:val="clear" w:color="auto" w:fill="F7F7F7"/>
                  <w:hideMark/>
                </w:tcPr>
                <w:p w:rsidR="00702179" w:rsidRPr="00702179" w:rsidRDefault="00702179" w:rsidP="00702179">
                  <w:hyperlink r:id="rId20" w:history="1">
                    <w:r w:rsidRPr="00702179">
                      <w:rPr>
                        <w:color w:val="1C50A4"/>
                        <w:u w:val="single"/>
                      </w:rPr>
                      <w:t>628617, Ханты-Мансийский Автономный округ - Югра, Тюменская область, г. Нижневартовск, ул. Пермская, 22</w:t>
                    </w:r>
                  </w:hyperlink>
                </w:p>
              </w:tc>
            </w:tr>
          </w:tbl>
          <w:p w:rsidR="00702179" w:rsidRPr="00702179" w:rsidRDefault="00702179" w:rsidP="00702179">
            <w:pPr>
              <w:rPr>
                <w:rFonts w:ascii="Arial" w:hAnsi="Arial" w:cs="Arial"/>
                <w:color w:val="000000"/>
                <w:sz w:val="18"/>
                <w:szCs w:val="18"/>
              </w:rPr>
            </w:pPr>
          </w:p>
        </w:tc>
      </w:tr>
    </w:tbl>
    <w:p w:rsidR="00844917" w:rsidRDefault="00844917">
      <w:bookmarkStart w:id="0" w:name="_GoBack"/>
      <w:bookmarkEnd w:id="0"/>
    </w:p>
    <w:sectPr w:rsidR="00844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79"/>
    <w:rsid w:val="00702179"/>
    <w:rsid w:val="0084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24525">
      <w:bodyDiv w:val="1"/>
      <w:marLeft w:val="0"/>
      <w:marRight w:val="0"/>
      <w:marTop w:val="0"/>
      <w:marBottom w:val="0"/>
      <w:divBdr>
        <w:top w:val="none" w:sz="0" w:space="0" w:color="auto"/>
        <w:left w:val="none" w:sz="0" w:space="0" w:color="auto"/>
        <w:bottom w:val="none" w:sz="0" w:space="0" w:color="auto"/>
        <w:right w:val="none" w:sz="0" w:space="0" w:color="auto"/>
      </w:divBdr>
      <w:divsChild>
        <w:div w:id="146358208">
          <w:marLeft w:val="0"/>
          <w:marRight w:val="15"/>
          <w:marTop w:val="0"/>
          <w:marBottom w:val="30"/>
          <w:divBdr>
            <w:top w:val="none" w:sz="0" w:space="0" w:color="auto"/>
            <w:left w:val="none" w:sz="0" w:space="0" w:color="auto"/>
            <w:bottom w:val="none" w:sz="0" w:space="0" w:color="auto"/>
            <w:right w:val="none" w:sz="0" w:space="0" w:color="auto"/>
          </w:divBdr>
        </w:div>
        <w:div w:id="1113742612">
          <w:marLeft w:val="0"/>
          <w:marRight w:val="15"/>
          <w:marTop w:val="0"/>
          <w:marBottom w:val="30"/>
          <w:divBdr>
            <w:top w:val="none" w:sz="0" w:space="0" w:color="auto"/>
            <w:left w:val="none" w:sz="0" w:space="0" w:color="auto"/>
            <w:bottom w:val="none" w:sz="0" w:space="0" w:color="auto"/>
            <w:right w:val="none" w:sz="0" w:space="0" w:color="auto"/>
          </w:divBdr>
        </w:div>
        <w:div w:id="2100713239">
          <w:marLeft w:val="0"/>
          <w:marRight w:val="15"/>
          <w:marTop w:val="0"/>
          <w:marBottom w:val="30"/>
          <w:divBdr>
            <w:top w:val="none" w:sz="0" w:space="0" w:color="auto"/>
            <w:left w:val="none" w:sz="0" w:space="0" w:color="auto"/>
            <w:bottom w:val="none" w:sz="0" w:space="0" w:color="auto"/>
            <w:right w:val="none" w:sz="0" w:space="0" w:color="auto"/>
          </w:divBdr>
        </w:div>
        <w:div w:id="479348471">
          <w:marLeft w:val="0"/>
          <w:marRight w:val="15"/>
          <w:marTop w:val="0"/>
          <w:marBottom w:val="30"/>
          <w:divBdr>
            <w:top w:val="none" w:sz="0" w:space="0" w:color="auto"/>
            <w:left w:val="none" w:sz="0" w:space="0" w:color="auto"/>
            <w:bottom w:val="none" w:sz="0" w:space="0" w:color="auto"/>
            <w:right w:val="none" w:sz="0" w:space="0" w:color="auto"/>
          </w:divBdr>
        </w:div>
        <w:div w:id="207693370">
          <w:marLeft w:val="0"/>
          <w:marRight w:val="15"/>
          <w:marTop w:val="0"/>
          <w:marBottom w:val="30"/>
          <w:divBdr>
            <w:top w:val="none" w:sz="0" w:space="0" w:color="auto"/>
            <w:left w:val="none" w:sz="0" w:space="0" w:color="auto"/>
            <w:bottom w:val="none" w:sz="0" w:space="0" w:color="auto"/>
            <w:right w:val="none" w:sz="0" w:space="0" w:color="auto"/>
          </w:divBdr>
        </w:div>
        <w:div w:id="73741705">
          <w:marLeft w:val="0"/>
          <w:marRight w:val="15"/>
          <w:marTop w:val="0"/>
          <w:marBottom w:val="30"/>
          <w:divBdr>
            <w:top w:val="none" w:sz="0" w:space="0" w:color="auto"/>
            <w:left w:val="none" w:sz="0" w:space="0" w:color="auto"/>
            <w:bottom w:val="none" w:sz="0" w:space="0" w:color="auto"/>
            <w:right w:val="none" w:sz="0" w:space="0" w:color="auto"/>
          </w:divBdr>
        </w:div>
        <w:div w:id="484014478">
          <w:marLeft w:val="0"/>
          <w:marRight w:val="60"/>
          <w:marTop w:val="60"/>
          <w:marBottom w:val="60"/>
          <w:divBdr>
            <w:top w:val="none" w:sz="0" w:space="0" w:color="auto"/>
            <w:left w:val="none" w:sz="0" w:space="0" w:color="auto"/>
            <w:bottom w:val="none" w:sz="0" w:space="0" w:color="auto"/>
            <w:right w:val="none" w:sz="0" w:space="0" w:color="auto"/>
          </w:divBdr>
          <w:divsChild>
            <w:div w:id="1630234982">
              <w:marLeft w:val="0"/>
              <w:marRight w:val="0"/>
              <w:marTop w:val="0"/>
              <w:marBottom w:val="0"/>
              <w:divBdr>
                <w:top w:val="none" w:sz="0" w:space="0" w:color="auto"/>
                <w:left w:val="none" w:sz="0" w:space="0" w:color="auto"/>
                <w:bottom w:val="none" w:sz="0" w:space="0" w:color="auto"/>
                <w:right w:val="none" w:sz="0" w:space="0" w:color="auto"/>
              </w:divBdr>
            </w:div>
          </w:divsChild>
        </w:div>
        <w:div w:id="1472016352">
          <w:marLeft w:val="0"/>
          <w:marRight w:val="0"/>
          <w:marTop w:val="0"/>
          <w:marBottom w:val="0"/>
          <w:divBdr>
            <w:top w:val="none" w:sz="0" w:space="0" w:color="auto"/>
            <w:left w:val="none" w:sz="0" w:space="0" w:color="auto"/>
            <w:bottom w:val="none" w:sz="0" w:space="0" w:color="auto"/>
            <w:right w:val="none" w:sz="0" w:space="0" w:color="auto"/>
          </w:divBdr>
        </w:div>
        <w:div w:id="1289311735">
          <w:marLeft w:val="0"/>
          <w:marRight w:val="0"/>
          <w:marTop w:val="0"/>
          <w:marBottom w:val="0"/>
          <w:divBdr>
            <w:top w:val="none" w:sz="0" w:space="0" w:color="auto"/>
            <w:left w:val="none" w:sz="0" w:space="0" w:color="auto"/>
            <w:bottom w:val="none" w:sz="0" w:space="0" w:color="auto"/>
            <w:right w:val="none" w:sz="0" w:space="0" w:color="auto"/>
          </w:divBdr>
        </w:div>
        <w:div w:id="24985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414&amp;action=send_letters" TargetMode="External"/><Relationship Id="rId13" Type="http://schemas.openxmlformats.org/officeDocument/2006/relationships/hyperlink" Target="http://www.b2b-mrsk.ru/market/list_tenders.html?all=0&amp;cat_id=117493053&amp;open=1" TargetMode="External"/><Relationship Id="rId18" Type="http://schemas.openxmlformats.org/officeDocument/2006/relationships/hyperlink" Target="http://www.b2b-mrsk.ru/market/view_tender.html?id=37414&amp;action=signed_doc&amp;key=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37414&amp;action=invitations" TargetMode="External"/><Relationship Id="rId12" Type="http://schemas.openxmlformats.org/officeDocument/2006/relationships/hyperlink" Target="http://www.b2b-mrsk.ru/market/list_tenders.html?all=0&amp;cat_id=117493052&amp;open=1" TargetMode="External"/><Relationship Id="rId17" Type="http://schemas.openxmlformats.org/officeDocument/2006/relationships/hyperlink" Target="http://www.b2b-mrsk.ru/market/edit_tender.html?id=37414&amp;action=docs" TargetMode="External"/><Relationship Id="rId2" Type="http://schemas.microsoft.com/office/2007/relationships/stylesWithEffects" Target="stylesWithEffects.xml"/><Relationship Id="rId16" Type="http://schemas.openxmlformats.org/officeDocument/2006/relationships/hyperlink" Target="http://www.b2b-mrsk.ru/download.html?file=file%2F6150015.zip&amp;title=%D0%9A%D0%94.zip" TargetMode="External"/><Relationship Id="rId20" Type="http://schemas.openxmlformats.org/officeDocument/2006/relationships/hyperlink" Target="http://www.b2b-mrsk.ru/market/view_tender.html?id=37414" TargetMode="External"/><Relationship Id="rId1" Type="http://schemas.openxmlformats.org/officeDocument/2006/relationships/styles" Target="styles.xml"/><Relationship Id="rId6" Type="http://schemas.openxmlformats.org/officeDocument/2006/relationships/hyperlink" Target="http://www.b2b-mrsk.ru/market/view_tender.html?id=37414&amp;action=explanation" TargetMode="External"/><Relationship Id="rId11" Type="http://schemas.openxmlformats.org/officeDocument/2006/relationships/hyperlink" Target="http://www.b2b-mrsk.ru/market/list_tenders.html?all=0&amp;cat_id=117493051&amp;open=1" TargetMode="External"/><Relationship Id="rId5" Type="http://schemas.openxmlformats.org/officeDocument/2006/relationships/hyperlink" Target="http://www.b2b-mrsk.ru/market/view_tender.html?id=37414&amp;show=lots" TargetMode="External"/><Relationship Id="rId15" Type="http://schemas.openxmlformats.org/officeDocument/2006/relationships/hyperlink" Target="mailto:ChernyhYN@vartanet.ru"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37414&amp;show=statistics" TargetMode="External"/><Relationship Id="rId14" Type="http://schemas.openxmlformats.org/officeDocument/2006/relationships/hyperlink" Target="http://www.b2b-mrsk.ru/popups/send_message.html?action=send&amp;to=125052&amp;subject=%D0%92%D0%BE%D0%BF%D1%80%D0%BE%D1%81+%D0%BF%D0%BE+%D0%BA%D0%BE%D0%BD%D0%BA%D1%83%D1%80%D1%81%D1%83+%E2%84%96+374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2216</Words>
  <Characters>12636</Characters>
  <Application>Microsoft Office Word</Application>
  <DocSecurity>0</DocSecurity>
  <Lines>105</Lines>
  <Paragraphs>29</Paragraphs>
  <ScaleCrop>false</ScaleCrop>
  <Company>NVES</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2013-10-17T08:20:00Z</dcterms:created>
  <dcterms:modified xsi:type="dcterms:W3CDTF">2013-10-17T08:20:00Z</dcterms:modified>
</cp:coreProperties>
</file>