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5C" w:rsidRPr="00B6705C" w:rsidRDefault="00B6705C" w:rsidP="00B670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705C">
        <w:rPr>
          <w:rFonts w:ascii="Times New Roman" w:hAnsi="Times New Roman" w:cs="Times New Roman"/>
          <w:b/>
          <w:sz w:val="32"/>
          <w:szCs w:val="32"/>
        </w:rPr>
        <w:t>ИЗВЕЩЕНИЕ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6705C" w:rsidRPr="00B6705C" w:rsidTr="00B6705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705C" w:rsidRPr="00B6705C" w:rsidRDefault="00B6705C" w:rsidP="00B6705C">
            <w:pPr>
              <w:shd w:val="clear" w:color="auto" w:fill="C7CCD3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B6705C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0"/>
                  <w:szCs w:val="20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"Тюменьэнерго" Сургутские электрические сети</w:t>
              </w:r>
            </w:hyperlink>
            <w:r w:rsidRPr="00B67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, 628403, Россия, Тюменская обл., Ханты-Мансийский Автономный округ - Югра, г. Сургут, ул.30лет Победы, д.30, </w:t>
            </w:r>
            <w:r w:rsidRPr="00B6705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приглашает принять участие в процедуре (тендере)</w:t>
            </w:r>
            <w:r w:rsidRPr="00B6705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</w:t>
            </w:r>
          </w:p>
        </w:tc>
      </w:tr>
      <w:tr w:rsidR="00B6705C" w:rsidRPr="00B6705C" w:rsidTr="00B6705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2"/>
              <w:gridCol w:w="6985"/>
            </w:tblGrid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проектно-изыскательских работ по реконструкции зданий и инженерных сетей базы СПП для нужд филиала АО «Тюменьэнерго» Сургутские электрические сети</w:t>
                  </w:r>
                </w:p>
                <w:p w:rsidR="00B6705C" w:rsidRPr="00B6705C" w:rsidRDefault="00B6705C" w:rsidP="00B6705C">
                  <w:pPr>
                    <w:spacing w:after="0" w:line="343" w:lineRule="atLeast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Лот № 1.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Выполнение проектно-изыскательских работ по реконструкции зданий и инженерных сетей базы СПП для нужд филиала АО "Тюменьэнерго" Сургутские электрические сети (АО "Тюменьэнерго")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2736" w:rsidRPr="00184864" w:rsidRDefault="00F62736" w:rsidP="00F62736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1848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ОКВЭД 2: 41.10 – Разработка строительных проектов</w:t>
                  </w:r>
                </w:p>
                <w:p w:rsidR="00F62736" w:rsidRPr="00B6705C" w:rsidRDefault="00F62736" w:rsidP="00F62736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84864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ОКПД 2: 41.10.10.000 – Документация проектная для строительства</w:t>
                  </w:r>
                  <w:bookmarkStart w:id="0" w:name="_GoBack"/>
                  <w:bookmarkEnd w:id="0"/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18.08.2016 11:53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26.10.2016 - 28.04.2017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6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АО "Тюменьэнерго"</w:t>
                    </w:r>
                  </w:hyperlink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, тел.+7 (3462) 77-33-24, </w:t>
                  </w:r>
                  <w:hyperlink r:id="rId8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Состав конкурсной комиссии утвержден приказом АО «Тюменьэнерго» № 154 от 04.04.2016 г.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Участвовать в закупке может любое юридическое, физическое лицо, в том числе индивидуальный предприниматель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 г. № 209-ФЗ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Участник/член коллективного Участника, субподрядчик (соисполнитель/субпоставщик) закупки должны обладать специальной правоспособностью – допуском к определенному виду или видам работ/услуг, связанным с выполнением договора, выдаваемые членам саморегулируемых организаций, согласно действующему законодательству РФ по форме, утвержденной Приказом Федеральной службы по экологическому, технологическому и атомному надзору от 5 июля 2011 г. N 356 «Об утверждении формы свидетельства о допуске к определенному виду или видам работ, которые оказывают влияние на безопасность объектов капитального строительства в соответствии с Приказом Минрегиона РФ от 30.12.2009 N 624», а </w:t>
                  </w:r>
                  <w:proofErr w:type="gramStart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именно: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</w:t>
                  </w:r>
                  <w:proofErr w:type="gramEnd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работы по инженерным изысканиям: Раздел I, пункты 1.3, 2.1, 2.4, предусмотренные Перечнем видов работ, утверждены Приказом Минрегиона № 624 от 30.12.2009 г.</w:t>
                  </w:r>
                  <w:proofErr w:type="gramStart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</w:t>
                  </w:r>
                  <w:proofErr w:type="gramEnd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подготовка проектной документации: Раздел II, пункты 1.1, 1.2, 3, 4.1, 4.2, 5.1, 5.2, 5.3, 6.3, 6.4, 9, 10, 12, 13 - предусмотренные Перечнем видов работ, утверждены Приказом Минрегиона № 624 от 30.12.2009 г.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Техническое и коммерческое предложения Участника должны соответствовать требованиям Заказчика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Предусмотрено финансовое обеспечение на участие в конкурсе в размере 5 % от начальной цены лота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Предусмотрено финансовое обеспечение исполнения договора в размере 10 % от начальной цены лота (с учетом налогов)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кадровыми ресурсами, с учетом минимального квалификационного состава -14 человек, в том числе: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главный инженер проекта - 1 человек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инженер – проектировщик - 9 человек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инженер – сметчик - 2 человека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геодезист - 1 человек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инженер-эколог - 1 человек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механизмами, с учетом минимального оснащения: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бурильная установка – не менее 1 шт.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теодолит – не менее 1 шт.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нивелир – не менее 1 шт.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персональные компьютеры с необходимыми сервисными программными обеспечениями (MS Office, AutoCAD, Acrobat Reader, MapInfo, Credo) – не менее 14 шт.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Выезд на объекты для сбора исходных данных и выполнения работ производится участником самостоятельно с использованием своего транспорта.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Участник/член коллективного Участника, субподрядчик (соисполнитель/субпоставщик) должен иметь устойчивое финансовое состояние.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</w:t>
                  </w:r>
                  <w:proofErr w:type="gramStart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формуле: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СЧА</w:t>
                  </w:r>
                  <w:proofErr w:type="gramEnd"/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= стр.1600-стр.1400-стр.1500,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формуле, указанной в конкурсной документации: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184864">
                    <w:rPr>
                      <w:rFonts w:ascii="Times New Roman" w:hAnsi="Times New Roman"/>
                      <w:position w:val="-24"/>
                      <w:sz w:val="20"/>
                      <w:szCs w:val="20"/>
                    </w:rPr>
                    <w:object w:dxaOrig="1340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5" type="#_x0000_t75" style="width:59.5pt;height:27.55pt">
                        <v:imagedata r:id="rId9" o:title=""/>
                      </v:shape>
                    </w:objec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,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 – период выполнения обязательств по договору (в месяцах),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S – сумма договора (без НДС)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 6 к настоящей конкурсной документации).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0" w:tgtFrame="_blank" w:history="1">
                    <w:r w:rsidRPr="00B6705C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КД_2016.0231.zip</w:t>
                    </w:r>
                  </w:hyperlink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(5.7 МБ)</w:t>
                  </w:r>
                </w:p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1" w:tgtFrame="signature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Предусмотрено финансовое обеспечение на участие в конкурсе в размере 5 % от начальной цены лота.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Обеспечение заявки на участие в конкурсе, путем внесения денежных средств, должно быть зачислено на расчетный счет Заказчика, указанного в п. 20.1 Информационной карты Конкурсной документации, до окончания срока подачи заявок на участие в конкурсе, указанного в Извещении о закупке.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Возврат участникам конкурса денежных средств, внесенных ими в качестве обеспечения заявки, производится в соответствии с п.3.6.2.8 конкурсной документации.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Цена с НДС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Вскрытие конвертов с заявками состоится </w:t>
                  </w:r>
                  <w:r w:rsidRPr="00B670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08.09.2016 в 12:00 по московскому времени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03.10.2016 15:00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Заседание конкурсной комиссии состоится по адресу: Тюменская обл., Ханты-Мансийский автономный округ-Югра. г. Сургут, ул. 30 лет Победы, д. 30.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07.10.2016 15:00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Подведение итогов конкурса будет произведено в соответствии с действующими регламентами электронной системы «b2b-mrsk.ru». Заседание конкурсной комиссии состоится по адресу: Тюменская обл., Ханты-Мансийский автономный округ-Югра. г. Сургут, ул. 30 лет Победы, д. 30.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 (критерии оценки указаны в приложении № 3 к конкурсной документации).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Лот № 1. 20 378 195,24 руб. (цена с НДС)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B6705C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Размер обеспечения исполнения договора - 10 % от начальной цены лота (с учетом налогов). Форма обеспечения: перечисление денежных средств (обеспечительный платеж) на расчетный счет Заказчика, указанный в п. 29 Информационной карты настоящей Конкурсной документации. Финансовое обеспечение должно быть зачислено на расчетный счет Заказчика до даты заключения договора.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Информация о закупке размещена на Официальном сайте РФ – www.zakupki.gov.ru, на электронно-торговой площадке - www.b2b-mrsk.ru, а также на сайте Заказчика по адресу: www.te.ru в разделе «Закупки» и доступна для ознакомления без взимания платы.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«Задание на проектирование».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 xml:space="preserve">628406, Россия, Ханты-Мансийский Автономный округ - Югра, г. Сургут, </w:t>
                    </w:r>
                    <w:proofErr w:type="spellStart"/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ул.Сосновая</w:t>
                    </w:r>
                    <w:proofErr w:type="spellEnd"/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, 28 (адрес СЛиМТО ОАО "Тюменьэнерго" Сургутские электрические сети)</w:t>
                    </w:r>
                  </w:hyperlink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Заявка № 4265349</w:t>
                    </w:r>
                  </w:hyperlink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09"/>
                    <w:gridCol w:w="3386"/>
                  </w:tblGrid>
                  <w:tr w:rsidR="00B6705C" w:rsidRPr="00B6705C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Извещение </w:t>
                        </w:r>
                      </w:p>
                      <w:p w:rsidR="00B6705C" w:rsidRPr="00B6705C" w:rsidRDefault="00B6705C" w:rsidP="00B6705C">
                        <w:pPr>
                          <w:spacing w:before="171" w:after="171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6600"/>
                            <w:sz w:val="20"/>
                            <w:szCs w:val="20"/>
                            <w:lang w:eastAsia="ru-RU"/>
                          </w:rPr>
                          <w:t>Выгружено</w:t>
                        </w:r>
                        <w:r w:rsidRPr="00B6705C">
                          <w:rPr>
                            <w:rFonts w:ascii="Times New Roman" w:eastAsia="Times New Roman" w:hAnsi="Times New Roman" w:cs="Times New Roman"/>
                            <w:color w:val="006600"/>
                            <w:sz w:val="20"/>
                            <w:szCs w:val="20"/>
                            <w:lang w:eastAsia="ru-RU"/>
                          </w:rPr>
                          <w:br/>
                          <w:t>18.08.2016 11:55:19 (версия 1)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извещения на ОС:</w:t>
                        </w:r>
                      </w:p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31604006731 </w:t>
                        </w:r>
                      </w:p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color w:val="818181"/>
                            <w:sz w:val="20"/>
                            <w:szCs w:val="20"/>
                            <w:lang w:eastAsia="ru-RU"/>
                          </w:rPr>
                          <w:t>Пример: 31300123456</w:t>
                        </w: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B6705C" w:rsidRPr="00B6705C" w:rsidRDefault="00B6705C" w:rsidP="00B6705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Начало формы</w:t>
                        </w:r>
                      </w:p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object w:dxaOrig="225" w:dyaOrig="225">
                            <v:shape id="_x0000_i1037" type="#_x0000_t75" style="width:1in;height:18.15pt" o:ole="">
                              <v:imagedata r:id="rId13" o:title=""/>
                            </v:shape>
                            <w:control r:id="rId14" w:name="DefaultOcxName" w:shapeid="_x0000_i1037"/>
                          </w:object>
                        </w: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object w:dxaOrig="225" w:dyaOrig="225">
                            <v:shape id="_x0000_i1036" type="#_x0000_t75" style="width:60.75pt;height:18.15pt" o:ole="">
                              <v:imagedata r:id="rId15" o:title=""/>
                            </v:shape>
                            <w:control r:id="rId16" w:name="DefaultOcxName1" w:shapeid="_x0000_i1036"/>
                          </w:object>
                        </w: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object w:dxaOrig="225" w:dyaOrig="225">
                            <v:shape id="_x0000_i1035" type="#_x0000_t75" style="width:53.85pt;height:22.55pt" o:ole="">
                              <v:imagedata r:id="rId17" o:title=""/>
                            </v:shape>
                            <w:control r:id="rId18" w:name="DefaultOcxName2" w:shapeid="_x0000_i1035"/>
                          </w:object>
                        </w:r>
                      </w:p>
                      <w:p w:rsidR="00B6705C" w:rsidRPr="00B6705C" w:rsidRDefault="00B6705C" w:rsidP="00B6705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B6705C">
                          <w:rPr>
                            <w:rFonts w:ascii="Times New Roman" w:eastAsia="Times New Roman" w:hAnsi="Times New Roman" w:cs="Times New Roman"/>
                            <w:vanish/>
                            <w:sz w:val="20"/>
                            <w:szCs w:val="20"/>
                            <w:lang w:eastAsia="ru-RU"/>
                          </w:rPr>
                          <w:t>Конец формы</w:t>
                        </w:r>
                      </w:p>
                      <w:p w:rsidR="00B6705C" w:rsidRPr="00B6705C" w:rsidRDefault="00B6705C" w:rsidP="00B6705C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B6705C" w:rsidRPr="00B6705C" w:rsidRDefault="00B6705C" w:rsidP="00B6705C">
                        <w:pPr>
                          <w:spacing w:before="171" w:after="171" w:line="343" w:lineRule="atLeast"/>
                          <w:rPr>
                            <w:rFonts w:ascii="Times New Roman" w:eastAsia="Times New Roman" w:hAnsi="Times New Roman" w:cs="Times New Roman"/>
                            <w:color w:val="818181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18.08.2016 11:00, </w:t>
                  </w:r>
                  <w:hyperlink r:id="rId19" w:tgtFrame="_blank" w:tooltip="Отправить личное сообщение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B6705C" w:rsidRPr="00B6705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B6705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B6705C" w:rsidRPr="00B6705C" w:rsidRDefault="00B6705C" w:rsidP="00B6705C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20" w:tgtFrame="signature" w:history="1">
                    <w:r w:rsidRPr="00B6705C">
                      <w:rPr>
                        <w:rFonts w:ascii="Times New Roman" w:eastAsia="Times New Roman" w:hAnsi="Times New Roman" w:cs="Times New Roman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B6705C" w:rsidRPr="00B6705C" w:rsidRDefault="00B6705C" w:rsidP="00B6705C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C08A1" w:rsidRPr="00B6705C" w:rsidRDefault="00BC08A1">
      <w:pPr>
        <w:rPr>
          <w:rFonts w:ascii="Times New Roman" w:hAnsi="Times New Roman" w:cs="Times New Roman"/>
          <w:sz w:val="20"/>
          <w:szCs w:val="20"/>
        </w:rPr>
      </w:pPr>
    </w:p>
    <w:sectPr w:rsidR="00BC08A1" w:rsidRPr="00B6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116ED"/>
    <w:multiLevelType w:val="multilevel"/>
    <w:tmpl w:val="69BA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9E3"/>
    <w:rsid w:val="009139E3"/>
    <w:rsid w:val="00B6705C"/>
    <w:rsid w:val="00BC08A1"/>
    <w:rsid w:val="00F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66646-2DCB-4B5C-854D-DC032A3E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6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9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65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ures.te.ru" TargetMode="External"/><Relationship Id="rId13" Type="http://schemas.openxmlformats.org/officeDocument/2006/relationships/image" Target="media/image2.wmf"/><Relationship Id="rId18" Type="http://schemas.openxmlformats.org/officeDocument/2006/relationships/control" Target="activeX/activeX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popups/send_message.html?action=send&amp;to=121939&amp;subject=%D0%92%D0%BE%D0%BF%D1%80%D0%BE%D1%81+%D0%BF%D0%BE+%D0%BA%D0%BE%D0%BD%D0%BA%D1%83%D1%80%D1%81%D1%83+%E2%84%96+50142" TargetMode="External"/><Relationship Id="rId12" Type="http://schemas.openxmlformats.org/officeDocument/2006/relationships/hyperlink" Target="http://www.b2b-mrsk.ru/summaries/view_gkpz.html?id=4265349" TargetMode="External"/><Relationship Id="rId17" Type="http://schemas.openxmlformats.org/officeDocument/2006/relationships/image" Target="media/image4.wmf"/><Relationship Id="rId2" Type="http://schemas.openxmlformats.org/officeDocument/2006/relationships/styles" Target="styles.xml"/><Relationship Id="rId16" Type="http://schemas.openxmlformats.org/officeDocument/2006/relationships/control" Target="activeX/activeX2.xml"/><Relationship Id="rId20" Type="http://schemas.openxmlformats.org/officeDocument/2006/relationships/hyperlink" Target="http://www.b2b-mrsk.ru/market/view_tender.html?id=50142&amp;action=signed_doc&amp;key=tend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ao-tiumenenergo/247/" TargetMode="External"/><Relationship Id="rId11" Type="http://schemas.openxmlformats.org/officeDocument/2006/relationships/hyperlink" Target="http://www.b2b-mrsk.ru/market/view_tender.html?id=50142&amp;action=signed_doc&amp;key=docs" TargetMode="External"/><Relationship Id="rId5" Type="http://schemas.openxmlformats.org/officeDocument/2006/relationships/hyperlink" Target="http://www.b2b-mrsk.ru/firms/filial-aktsionernogo-obshchestva-energetiki-i-elektrifikatsii-tiumenenergo-surgutskie-elektricheskie-seti/102382/" TargetMode="External"/><Relationship Id="rId15" Type="http://schemas.openxmlformats.org/officeDocument/2006/relationships/image" Target="media/image3.wmf"/><Relationship Id="rId10" Type="http://schemas.openxmlformats.org/officeDocument/2006/relationships/hyperlink" Target="http://www.b2b-mrsk.ru/download.html?file=file%2F85038971.zip&amp;title=%D0%9A%D0%94_2016.0231.zip" TargetMode="External"/><Relationship Id="rId19" Type="http://schemas.openxmlformats.org/officeDocument/2006/relationships/hyperlink" Target="http://www.b2b-mrsk.ru/popups/send_message.html?action=send&amp;to=12193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2807</Words>
  <Characters>16006</Characters>
  <Application>Microsoft Office Word</Application>
  <DocSecurity>0</DocSecurity>
  <Lines>133</Lines>
  <Paragraphs>37</Paragraphs>
  <ScaleCrop>false</ScaleCrop>
  <Company/>
  <LinksUpToDate>false</LinksUpToDate>
  <CharactersWithSpaces>18776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3</cp:revision>
  <dcterms:created xsi:type="dcterms:W3CDTF">2016-08-18T09:03:00Z</dcterms:created>
  <dcterms:modified xsi:type="dcterms:W3CDTF">2016-08-18T09:07:00Z</dcterms:modified>
</cp:coreProperties>
</file>