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6"/>
        <w:tblW w:w="10060" w:type="dxa"/>
        <w:jc w:val="center"/>
        <w:tblLook w:val="04A0" w:firstRow="1" w:lastRow="0" w:firstColumn="1" w:lastColumn="0" w:noHBand="0" w:noVBand="1"/>
      </w:tblPr>
      <w:tblGrid>
        <w:gridCol w:w="562"/>
        <w:gridCol w:w="4820"/>
        <w:gridCol w:w="4678"/>
      </w:tblGrid>
      <w:tr w:rsidR="009160B4" w:rsidRPr="005C7E56" w:rsidTr="009160B4">
        <w:trPr>
          <w:trHeight w:val="416"/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820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678" w:type="dxa"/>
            <w:vAlign w:val="center"/>
          </w:tcPr>
          <w:p w:rsidR="009160B4" w:rsidRPr="005C7E56" w:rsidRDefault="009160B4" w:rsidP="009160B4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820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Рассматриваете ли Вы альтернативный срок поставки, можем ли мы продлить срок поставки до 2х месяцев? Т.к. некоторое оборудование доступно к поставке только под заказ.</w:t>
            </w:r>
          </w:p>
        </w:tc>
        <w:tc>
          <w:tcPr>
            <w:tcW w:w="4678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C7E56">
              <w:rPr>
                <w:rFonts w:ascii="Times New Roman" w:hAnsi="Times New Roman"/>
                <w:color w:val="FF0000"/>
                <w:sz w:val="23"/>
                <w:szCs w:val="23"/>
                <w:highlight w:val="yellow"/>
              </w:rPr>
              <w:t xml:space="preserve">Внесены изменения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в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Техническо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е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задани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е - в соответствии с п. 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1.1.1. Технического задания Товар поставляется Продавцом в течении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2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месяц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ев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с даты подписания договоров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.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820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По оборудованию для Расширения существующей системы хранения ЦОД L1 некоторые позиции (диски) недоступны для заказа, можем ли мы предложить альтернативный вариант?</w:t>
            </w:r>
          </w:p>
        </w:tc>
        <w:tc>
          <w:tcPr>
            <w:tcW w:w="4678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Готовы рассмотреть конкретный альтернативный вариант, в случае подтверждения от производителя о совместимости предложенных дисков с существующей системой. А также пояснения причины недоступности к заказу указанных в спецификации дисков.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820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В договоре прописан срок гарантии на все оборудование не менее 5 лет. В Техническом задании формулировка к гарантийным обязательствам следующая: На поставляемый Товар устанавливается гарантийный срок завода-изготовителя, который исчисляется с даты окончания приемки товара. Скажите, будет ли согласовываться договор в соответствии с техническим заданием?</w:t>
            </w:r>
          </w:p>
        </w:tc>
        <w:tc>
          <w:tcPr>
            <w:tcW w:w="4678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  <w:highlight w:val="yellow"/>
              </w:rPr>
            </w:pPr>
            <w:r w:rsidRPr="005C7E56">
              <w:rPr>
                <w:rFonts w:ascii="Times New Roman" w:hAnsi="Times New Roman"/>
                <w:color w:val="FF0000"/>
                <w:sz w:val="23"/>
                <w:szCs w:val="23"/>
                <w:highlight w:val="yellow"/>
              </w:rPr>
              <w:t xml:space="preserve">Внесены изменения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в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Проект договора –</w:t>
            </w:r>
            <w:r w:rsid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</w:t>
            </w:r>
            <w:bookmarkStart w:id="0" w:name="_GoBack"/>
            <w:bookmarkEnd w:id="0"/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в соответствии с п. 4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.1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4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.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Проекта договора н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а поставляемый Товар устанавливается гарантийный срок завода-изготовителя, который исчисляется с даты окончания приемки товара.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820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Правильно ли мы понимаем, что по итогам закупки всего будет заключено шесть договоров (с каждым филиалом по отдельности)? В связи с чем потребуется шесть банковских гарантий в качестве обеспечения исполнения договора (в случае выбора банковской гарантии в качестве обеспечения исполнения договора)?</w:t>
            </w:r>
          </w:p>
        </w:tc>
        <w:tc>
          <w:tcPr>
            <w:tcW w:w="4678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Да,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в соответствии с п. 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31 Информационной карты Конкурсной документации Договоры поставки заключаются Победителем с филиалами Заказчика (с каждым филиалом отдельный договор). Да,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в соответствии с п. 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31 Информационной карты Конкурсной документации б/г на каждый заключаемый договор</w:t>
            </w:r>
            <w:r w:rsidRPr="005C7E5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4820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 xml:space="preserve">В пункте 3.6.2. раздела </w:t>
            </w:r>
            <w:bookmarkStart w:id="1" w:name="_Ref55300680"/>
            <w:bookmarkStart w:id="2" w:name="_Toc55305378"/>
            <w:bookmarkStart w:id="3" w:name="_Toc57314640"/>
            <w:bookmarkStart w:id="4" w:name="_Toc69728963"/>
            <w:bookmarkStart w:id="5" w:name="_Ref200939526"/>
            <w:bookmarkStart w:id="6" w:name="_Toc202080119"/>
            <w:bookmarkStart w:id="7" w:name="_Toc481156386"/>
            <w:r w:rsidRPr="005C7E56">
              <w:rPr>
                <w:rFonts w:ascii="Times New Roman" w:hAnsi="Times New Roman"/>
                <w:sz w:val="23"/>
                <w:szCs w:val="23"/>
              </w:rPr>
              <w:t>3 Порядок проведения конкурса. Инструкции по подготовке Конкурсных заявок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r w:rsidRPr="005C7E56">
              <w:rPr>
                <w:rFonts w:ascii="Times New Roman" w:hAnsi="Times New Roman"/>
                <w:sz w:val="23"/>
                <w:szCs w:val="23"/>
              </w:rPr>
              <w:t xml:space="preserve"> отсутствует ряд пунктов после подраздела 3.6.2.1. Просьба внести корректировку в документацию.</w:t>
            </w:r>
          </w:p>
        </w:tc>
        <w:tc>
          <w:tcPr>
            <w:tcW w:w="4678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В п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. 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3.6.2. раздела 3 Порядок проведения конкурса все пункты отображаются корректно и не требуют корректив (при просмотре документа уберите значок «Отобразить все непечатные знаки»)</w:t>
            </w:r>
            <w:r w:rsidRPr="005C7E56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4820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Пунктом 33.5.2.6 Раздела 1 Информационная карта предусмотрено предоставление Расписки о согласии на проведение проверки Службой экономической безопасности АО</w:t>
            </w:r>
            <w:r w:rsidRPr="005C7E56">
              <w:rPr>
                <w:rFonts w:ascii="Times New Roman" w:hAnsi="Times New Roman"/>
                <w:sz w:val="23"/>
                <w:szCs w:val="23"/>
              </w:rPr>
              <w:t> </w:t>
            </w:r>
            <w:r w:rsidRPr="005C7E56">
              <w:rPr>
                <w:rFonts w:ascii="Times New Roman" w:hAnsi="Times New Roman"/>
                <w:sz w:val="23"/>
                <w:szCs w:val="23"/>
              </w:rPr>
              <w:t>«</w:t>
            </w:r>
            <w:proofErr w:type="spellStart"/>
            <w:r w:rsidRPr="005C7E56">
              <w:rPr>
                <w:rFonts w:ascii="Times New Roman" w:hAnsi="Times New Roman"/>
                <w:sz w:val="23"/>
                <w:szCs w:val="23"/>
              </w:rPr>
              <w:t>Тюменьэнерго</w:t>
            </w:r>
            <w:proofErr w:type="spellEnd"/>
            <w:r w:rsidRPr="005C7E56">
              <w:rPr>
                <w:rFonts w:ascii="Times New Roman" w:hAnsi="Times New Roman"/>
                <w:sz w:val="23"/>
                <w:szCs w:val="23"/>
              </w:rPr>
              <w:t>» на предмет благонадежности. Данная расписка составляется в свободной форме? Что должно быть отражено в данной расписке?</w:t>
            </w:r>
          </w:p>
        </w:tc>
        <w:tc>
          <w:tcPr>
            <w:tcW w:w="4678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Да, расписка составляется в свободной форме, в которой отражается ваше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  <w:u w:val="single"/>
              </w:rPr>
              <w:t>согласие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 на проведение такой проверки.</w:t>
            </w:r>
          </w:p>
        </w:tc>
      </w:tr>
      <w:tr w:rsidR="009160B4" w:rsidRPr="005C7E56" w:rsidTr="009160B4">
        <w:trPr>
          <w:jc w:val="center"/>
        </w:trPr>
        <w:tc>
          <w:tcPr>
            <w:tcW w:w="562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4820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 xml:space="preserve">Пунктом 33.6 Раздела 1 Информационная карта предусмотрено предоставление </w:t>
            </w:r>
            <w:r w:rsidRPr="005C7E56">
              <w:rPr>
                <w:rFonts w:ascii="Times New Roman" w:hAnsi="Times New Roman"/>
                <w:bCs/>
                <w:sz w:val="23"/>
                <w:szCs w:val="23"/>
              </w:rPr>
              <w:t>Сведений в отношении всей цепочки собственников, включая бенефициаров в отдельной электронной папке в составе Заявки на ЭТП с наименованием «Бенефициары». При этом размещение архивов не допускается. Как следует правильно оформить данное требование?</w:t>
            </w:r>
          </w:p>
        </w:tc>
        <w:tc>
          <w:tcPr>
            <w:tcW w:w="4678" w:type="dxa"/>
          </w:tcPr>
          <w:p w:rsidR="009160B4" w:rsidRPr="005C7E56" w:rsidRDefault="009160B4" w:rsidP="009160B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Документы должны быть сформированы в отдельную электронную папку в составе Заявки на ЭТП с наименованием «Бенефициары». ЭТП ПАО «</w:t>
            </w:r>
            <w:proofErr w:type="spellStart"/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Россети</w:t>
            </w:r>
            <w:proofErr w:type="spellEnd"/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» (etp.rosseti.ru) позволяет размещать архивы в некоторых форматах, в том числе </w:t>
            </w:r>
            <w:proofErr w:type="spellStart"/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Zip</w:t>
            </w:r>
            <w:proofErr w:type="spellEnd"/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-файлы. (в соответствии с п.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 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 xml:space="preserve">3.7.1.2. Конкурсной документации не допускается размещение на ЭТП 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  <w:u w:val="single"/>
              </w:rPr>
              <w:t>архивов, состоящих из нескольких частей (томов)</w:t>
            </w:r>
            <w:r w:rsidRPr="005C7E56">
              <w:rPr>
                <w:rFonts w:ascii="Times New Roman" w:hAnsi="Times New Roman"/>
                <w:sz w:val="23"/>
                <w:szCs w:val="23"/>
                <w:highlight w:val="yellow"/>
              </w:rPr>
              <w:t>.</w:t>
            </w:r>
          </w:p>
        </w:tc>
      </w:tr>
    </w:tbl>
    <w:p w:rsidR="009160B4" w:rsidRDefault="009160B4" w:rsidP="009160B4">
      <w:pPr>
        <w:spacing w:after="120"/>
        <w:jc w:val="both"/>
        <w:rPr>
          <w:rFonts w:ascii="Arial" w:hAnsi="Arial" w:cs="Arial"/>
        </w:rPr>
      </w:pPr>
    </w:p>
    <w:sectPr w:rsidR="009160B4" w:rsidSect="005C7E56">
      <w:pgSz w:w="11906" w:h="16838"/>
      <w:pgMar w:top="993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7070"/>
    <w:multiLevelType w:val="hybridMultilevel"/>
    <w:tmpl w:val="526EB208"/>
    <w:lvl w:ilvl="0" w:tplc="153CFD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7B"/>
    <w:rsid w:val="00110B1E"/>
    <w:rsid w:val="00292DF5"/>
    <w:rsid w:val="0033489B"/>
    <w:rsid w:val="003D6DB7"/>
    <w:rsid w:val="005C7E56"/>
    <w:rsid w:val="0066361D"/>
    <w:rsid w:val="00860DD0"/>
    <w:rsid w:val="008C53A9"/>
    <w:rsid w:val="009160B4"/>
    <w:rsid w:val="00B15021"/>
    <w:rsid w:val="00B30C30"/>
    <w:rsid w:val="00B646F9"/>
    <w:rsid w:val="00C41CBE"/>
    <w:rsid w:val="00C961F2"/>
    <w:rsid w:val="00D2117B"/>
    <w:rsid w:val="00E102AB"/>
    <w:rsid w:val="00EB2980"/>
    <w:rsid w:val="00F5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63AB"/>
  <w15:docId w15:val="{18949597-B9A0-4955-AB1C-0CC6DF73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3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17B"/>
    <w:pPr>
      <w:spacing w:before="0"/>
      <w:ind w:firstLine="0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3489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9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348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48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3489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3489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3489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3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9B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3489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3348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3489B"/>
    <w:pPr>
      <w:numPr>
        <w:ilvl w:val="1"/>
      </w:numPr>
      <w:ind w:firstLine="34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3489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3489B"/>
    <w:rPr>
      <w:b/>
      <w:bCs/>
    </w:rPr>
  </w:style>
  <w:style w:type="character" w:styleId="a9">
    <w:name w:val="Emphasis"/>
    <w:basedOn w:val="a0"/>
    <w:uiPriority w:val="20"/>
    <w:qFormat/>
    <w:rsid w:val="0033489B"/>
    <w:rPr>
      <w:i/>
      <w:iCs/>
    </w:rPr>
  </w:style>
  <w:style w:type="paragraph" w:styleId="aa">
    <w:name w:val="No Spacing"/>
    <w:uiPriority w:val="1"/>
    <w:qFormat/>
    <w:rsid w:val="0033489B"/>
  </w:style>
  <w:style w:type="paragraph" w:styleId="ab">
    <w:name w:val="List Paragraph"/>
    <w:basedOn w:val="a"/>
    <w:uiPriority w:val="34"/>
    <w:qFormat/>
    <w:rsid w:val="0033489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3489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3489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33489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3489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33489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3489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3489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3489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3489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3489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C53A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8C53A9"/>
    <w:rPr>
      <w:rFonts w:ascii="Segoe UI" w:hAnsi="Segoe UI" w:cs="Segoe UI"/>
      <w:sz w:val="18"/>
      <w:szCs w:val="18"/>
      <w:lang w:eastAsia="ru-RU"/>
    </w:rPr>
  </w:style>
  <w:style w:type="table" w:styleId="af6">
    <w:name w:val="Table Grid"/>
    <w:basedOn w:val="a1"/>
    <w:uiPriority w:val="59"/>
    <w:rsid w:val="009160B4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4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Bakhmach_AO (WS-SPB-MGR12)</dc:creator>
  <cp:lastModifiedBy>Дурасова Нина Ивановна</cp:lastModifiedBy>
  <cp:revision>7</cp:revision>
  <cp:lastPrinted>2017-05-16T05:33:00Z</cp:lastPrinted>
  <dcterms:created xsi:type="dcterms:W3CDTF">2017-05-16T04:26:00Z</dcterms:created>
  <dcterms:modified xsi:type="dcterms:W3CDTF">2017-05-16T06:43:00Z</dcterms:modified>
</cp:coreProperties>
</file>