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257" w:rsidRDefault="00060257" w:rsidP="00060257">
      <w:pPr>
        <w:pStyle w:val="1"/>
        <w:rPr>
          <w:sz w:val="27"/>
          <w:szCs w:val="27"/>
        </w:rPr>
      </w:pPr>
      <w:r>
        <w:rPr>
          <w:sz w:val="27"/>
          <w:szCs w:val="27"/>
        </w:rPr>
        <w:t>Конкурс (тендер) № 45562 </w:t>
      </w:r>
      <w:r>
        <w:rPr>
          <w:rStyle w:val="bg1"/>
          <w:sz w:val="20"/>
          <w:szCs w:val="20"/>
        </w:rPr>
        <w:t>(вскрытие конвертов 12.10.2015 в 08:30)</w:t>
      </w:r>
    </w:p>
    <w:tbl>
      <w:tblPr>
        <w:tblW w:w="5000" w:type="pct"/>
        <w:tblCellSpacing w:w="0" w:type="dxa"/>
        <w:tblCellMar>
          <w:left w:w="0" w:type="dxa"/>
          <w:right w:w="0" w:type="dxa"/>
        </w:tblCellMar>
        <w:tblLook w:val="04A0" w:firstRow="1" w:lastRow="0" w:firstColumn="1" w:lastColumn="0" w:noHBand="0" w:noVBand="1"/>
      </w:tblPr>
      <w:tblGrid>
        <w:gridCol w:w="9355"/>
      </w:tblGrid>
      <w:tr w:rsidR="00060257">
        <w:trPr>
          <w:tblCellSpacing w:w="0" w:type="dxa"/>
        </w:trPr>
        <w:tc>
          <w:tcPr>
            <w:tcW w:w="0" w:type="auto"/>
            <w:hideMark/>
          </w:tcPr>
          <w:p w:rsidR="00060257" w:rsidRDefault="00060257" w:rsidP="00060257">
            <w:pPr>
              <w:shd w:val="clear" w:color="auto" w:fill="D5DADB"/>
              <w:rPr>
                <w:rFonts w:ascii="Arial" w:hAnsi="Arial" w:cs="Arial"/>
                <w:color w:val="333333"/>
                <w:sz w:val="18"/>
                <w:szCs w:val="18"/>
              </w:rPr>
            </w:pPr>
            <w:r>
              <w:rPr>
                <w:rFonts w:ascii="Arial" w:hAnsi="Arial" w:cs="Arial"/>
                <w:sz w:val="18"/>
                <w:szCs w:val="18"/>
              </w:rPr>
              <w:t xml:space="preserve"> </w:t>
            </w:r>
            <w:hyperlink r:id="rId4" w:history="1">
              <w:r>
                <w:rPr>
                  <w:rFonts w:ascii="Arial" w:hAnsi="Arial" w:cs="Arial"/>
                  <w:color w:val="50565F"/>
                  <w:sz w:val="18"/>
                  <w:szCs w:val="18"/>
                  <w:u w:val="single"/>
                  <w:bdr w:val="none" w:sz="0" w:space="0" w:color="auto" w:frame="1"/>
                </w:rPr>
                <w:t>Лоты</w:t>
              </w:r>
              <w:r>
                <w:rPr>
                  <w:rFonts w:ascii="Arial" w:hAnsi="Arial" w:cs="Arial"/>
                  <w:color w:val="333333"/>
                  <w:sz w:val="18"/>
                  <w:szCs w:val="18"/>
                  <w:u w:val="single"/>
                  <w:bdr w:val="none" w:sz="0" w:space="0" w:color="auto" w:frame="1"/>
                </w:rPr>
                <w:t> - 1</w:t>
              </w:r>
            </w:hyperlink>
          </w:p>
          <w:p w:rsidR="00060257" w:rsidRDefault="00060257" w:rsidP="00060257">
            <w:pPr>
              <w:shd w:val="clear" w:color="auto" w:fill="D5DADB"/>
              <w:rPr>
                <w:rFonts w:ascii="Arial" w:hAnsi="Arial" w:cs="Arial"/>
                <w:color w:val="333333"/>
                <w:sz w:val="18"/>
                <w:szCs w:val="18"/>
              </w:rPr>
            </w:pPr>
            <w:hyperlink r:id="rId5" w:history="1">
              <w:r>
                <w:rPr>
                  <w:rFonts w:ascii="Arial" w:hAnsi="Arial" w:cs="Arial"/>
                  <w:color w:val="50565F"/>
                  <w:sz w:val="18"/>
                  <w:szCs w:val="18"/>
                  <w:u w:val="single"/>
                  <w:bdr w:val="none" w:sz="0" w:space="0" w:color="auto" w:frame="1"/>
                </w:rPr>
                <w:t>Разъяснения</w:t>
              </w:r>
              <w:r>
                <w:rPr>
                  <w:rFonts w:ascii="Arial" w:hAnsi="Arial" w:cs="Arial"/>
                  <w:color w:val="333333"/>
                  <w:sz w:val="18"/>
                  <w:szCs w:val="18"/>
                  <w:u w:val="single"/>
                  <w:bdr w:val="none" w:sz="0" w:space="0" w:color="auto" w:frame="1"/>
                </w:rPr>
                <w:t> - 0</w:t>
              </w:r>
            </w:hyperlink>
          </w:p>
          <w:p w:rsidR="00060257" w:rsidRDefault="00060257" w:rsidP="00060257">
            <w:pPr>
              <w:shd w:val="clear" w:color="auto" w:fill="D5DADB"/>
              <w:rPr>
                <w:rFonts w:ascii="Arial" w:hAnsi="Arial" w:cs="Arial"/>
                <w:color w:val="333333"/>
                <w:sz w:val="18"/>
                <w:szCs w:val="18"/>
              </w:rPr>
            </w:pPr>
            <w:hyperlink r:id="rId6" w:history="1">
              <w:r>
                <w:rPr>
                  <w:rFonts w:ascii="Arial" w:hAnsi="Arial" w:cs="Arial"/>
                  <w:color w:val="50565F"/>
                  <w:sz w:val="18"/>
                  <w:szCs w:val="18"/>
                  <w:u w:val="single"/>
                  <w:bdr w:val="none" w:sz="0" w:space="0" w:color="auto" w:frame="1"/>
                </w:rPr>
                <w:t>Приглашения к участию</w:t>
              </w:r>
              <w:r>
                <w:rPr>
                  <w:rFonts w:ascii="Arial" w:hAnsi="Arial" w:cs="Arial"/>
                  <w:color w:val="333333"/>
                  <w:sz w:val="18"/>
                  <w:szCs w:val="18"/>
                  <w:u w:val="single"/>
                  <w:bdr w:val="none" w:sz="0" w:space="0" w:color="auto" w:frame="1"/>
                </w:rPr>
                <w:t> - 0</w:t>
              </w:r>
            </w:hyperlink>
          </w:p>
          <w:p w:rsidR="00060257" w:rsidRDefault="00060257" w:rsidP="00060257">
            <w:pPr>
              <w:shd w:val="clear" w:color="auto" w:fill="D5DADB"/>
              <w:rPr>
                <w:rFonts w:ascii="Arial" w:hAnsi="Arial" w:cs="Arial"/>
                <w:color w:val="333333"/>
                <w:sz w:val="18"/>
                <w:szCs w:val="18"/>
              </w:rPr>
            </w:pPr>
            <w:hyperlink r:id="rId7" w:history="1">
              <w:r>
                <w:rPr>
                  <w:rFonts w:ascii="Arial" w:hAnsi="Arial" w:cs="Arial"/>
                  <w:color w:val="50565F"/>
                  <w:sz w:val="18"/>
                  <w:szCs w:val="18"/>
                  <w:u w:val="single"/>
                  <w:bdr w:val="none" w:sz="0" w:space="0" w:color="auto" w:frame="1"/>
                </w:rPr>
                <w:t>Претенденты</w:t>
              </w:r>
              <w:r>
                <w:rPr>
                  <w:rFonts w:ascii="Arial" w:hAnsi="Arial" w:cs="Arial"/>
                  <w:color w:val="333333"/>
                  <w:sz w:val="18"/>
                  <w:szCs w:val="18"/>
                  <w:u w:val="single"/>
                  <w:bdr w:val="none" w:sz="0" w:space="0" w:color="auto" w:frame="1"/>
                </w:rPr>
                <w:t> - 0</w:t>
              </w:r>
            </w:hyperlink>
          </w:p>
          <w:p w:rsidR="00060257" w:rsidRDefault="00060257" w:rsidP="00060257">
            <w:pPr>
              <w:shd w:val="clear" w:color="auto" w:fill="D5DADB"/>
              <w:rPr>
                <w:rFonts w:ascii="Arial" w:hAnsi="Arial" w:cs="Arial"/>
                <w:color w:val="333333"/>
                <w:sz w:val="18"/>
                <w:szCs w:val="18"/>
              </w:rPr>
            </w:pPr>
            <w:hyperlink r:id="rId8" w:history="1">
              <w:r>
                <w:rPr>
                  <w:rFonts w:ascii="Arial" w:hAnsi="Arial" w:cs="Arial"/>
                  <w:color w:val="50565F"/>
                  <w:sz w:val="18"/>
                  <w:szCs w:val="18"/>
                  <w:u w:val="single"/>
                  <w:bdr w:val="none" w:sz="0" w:space="0" w:color="auto" w:frame="1"/>
                </w:rPr>
                <w:t>Статистика посещений</w:t>
              </w:r>
            </w:hyperlink>
          </w:p>
        </w:tc>
      </w:tr>
      <w:bookmarkStart w:id="0" w:name="_GoBack"/>
      <w:bookmarkEnd w:id="0"/>
      <w:tr w:rsidR="00060257">
        <w:tblPrEx>
          <w:tblCellSpacing w:w="7" w:type="dxa"/>
        </w:tblPrEx>
        <w:trPr>
          <w:tblCellSpacing w:w="7" w:type="dxa"/>
        </w:trPr>
        <w:tc>
          <w:tcPr>
            <w:tcW w:w="0" w:type="auto"/>
            <w:shd w:val="clear" w:color="auto" w:fill="C2C9CD"/>
            <w:tcMar>
              <w:top w:w="75" w:type="dxa"/>
              <w:left w:w="75" w:type="dxa"/>
              <w:bottom w:w="75" w:type="dxa"/>
              <w:right w:w="75" w:type="dxa"/>
            </w:tcMar>
            <w:hideMark/>
          </w:tcPr>
          <w:p w:rsidR="00060257" w:rsidRDefault="00060257">
            <w:pPr>
              <w:shd w:val="clear" w:color="auto" w:fill="C2C9CD"/>
              <w:spacing w:line="288" w:lineRule="auto"/>
              <w:outlineLvl w:val="2"/>
              <w:rPr>
                <w:rFonts w:ascii="Arial" w:hAnsi="Arial" w:cs="Arial"/>
                <w:color w:val="333333"/>
                <w:sz w:val="18"/>
                <w:szCs w:val="18"/>
              </w:rPr>
            </w:pPr>
            <w:r>
              <w:rPr>
                <w:rFonts w:ascii="Arial" w:hAnsi="Arial" w:cs="Arial"/>
                <w:color w:val="333333"/>
                <w:sz w:val="18"/>
                <w:szCs w:val="18"/>
              </w:rPr>
              <w:fldChar w:fldCharType="begin"/>
            </w:r>
            <w:r>
              <w:rPr>
                <w:rFonts w:ascii="Arial" w:hAnsi="Arial" w:cs="Arial"/>
                <w:color w:val="333333"/>
                <w:sz w:val="18"/>
                <w:szCs w:val="18"/>
              </w:rPr>
              <w:instrText xml:space="preserve"> HYPERLINK "http://www.b2b-mrsk.ru/firms/filial-aktsionernogo-obshchestva-energetiki-i-elektrofikatsii-tiumen-energo-noiabr-skie-elektricheskie-seti/44824/" </w:instrText>
            </w:r>
            <w:r>
              <w:rPr>
                <w:rFonts w:ascii="Arial" w:hAnsi="Arial" w:cs="Arial"/>
                <w:color w:val="333333"/>
                <w:sz w:val="18"/>
                <w:szCs w:val="18"/>
              </w:rPr>
              <w:fldChar w:fldCharType="separate"/>
            </w:r>
            <w:r>
              <w:rPr>
                <w:rFonts w:ascii="Arial" w:hAnsi="Arial" w:cs="Arial"/>
                <w:b/>
                <w:bCs/>
                <w:color w:val="1C50A4"/>
                <w:sz w:val="18"/>
                <w:szCs w:val="18"/>
              </w:rPr>
              <w:t xml:space="preserve">Филиал акционерного общества энергетики и </w:t>
            </w:r>
            <w:proofErr w:type="spellStart"/>
            <w:r>
              <w:rPr>
                <w:rFonts w:ascii="Arial" w:hAnsi="Arial" w:cs="Arial"/>
                <w:b/>
                <w:bCs/>
                <w:color w:val="1C50A4"/>
                <w:sz w:val="18"/>
                <w:szCs w:val="18"/>
              </w:rPr>
              <w:t>электрофикации</w:t>
            </w:r>
            <w:proofErr w:type="spellEnd"/>
            <w:r>
              <w:rPr>
                <w:rFonts w:ascii="Arial" w:hAnsi="Arial" w:cs="Arial"/>
                <w:b/>
                <w:bCs/>
                <w:color w:val="1C50A4"/>
                <w:sz w:val="18"/>
                <w:szCs w:val="18"/>
              </w:rPr>
              <w:t xml:space="preserve"> "Тюменьэнерго" Ноябрьские электрические </w:t>
            </w:r>
            <w:proofErr w:type="gramStart"/>
            <w:r>
              <w:rPr>
                <w:rFonts w:ascii="Arial" w:hAnsi="Arial" w:cs="Arial"/>
                <w:b/>
                <w:bCs/>
                <w:color w:val="1C50A4"/>
                <w:sz w:val="18"/>
                <w:szCs w:val="18"/>
              </w:rPr>
              <w:t xml:space="preserve">сети </w:t>
            </w:r>
            <w:r>
              <w:rPr>
                <w:rFonts w:ascii="Arial" w:hAnsi="Arial" w:cs="Arial"/>
                <w:color w:val="333333"/>
                <w:sz w:val="18"/>
                <w:szCs w:val="18"/>
              </w:rPr>
              <w:fldChar w:fldCharType="end"/>
            </w:r>
            <w:r>
              <w:rPr>
                <w:rFonts w:ascii="Arial" w:hAnsi="Arial" w:cs="Arial"/>
                <w:color w:val="333333"/>
                <w:sz w:val="18"/>
                <w:szCs w:val="18"/>
              </w:rPr>
              <w:t>,</w:t>
            </w:r>
            <w:proofErr w:type="gramEnd"/>
            <w:r>
              <w:rPr>
                <w:rFonts w:ascii="Arial" w:hAnsi="Arial" w:cs="Arial"/>
                <w:color w:val="333333"/>
                <w:sz w:val="18"/>
                <w:szCs w:val="18"/>
              </w:rPr>
              <w:t xml:space="preserve"> ул. Холмогорская, 25, г. Ноябрьск, Ямало-Ненецкий автономный округ, Россия, 629804, </w:t>
            </w:r>
            <w:r>
              <w:rPr>
                <w:rFonts w:ascii="Arial" w:hAnsi="Arial" w:cs="Arial"/>
                <w:b/>
                <w:bCs/>
                <w:color w:val="333333"/>
                <w:sz w:val="18"/>
                <w:szCs w:val="18"/>
              </w:rPr>
              <w:t>приглашает принять участие в процедуре (тендере)</w:t>
            </w:r>
            <w:r>
              <w:rPr>
                <w:rFonts w:ascii="Arial" w:hAnsi="Arial" w:cs="Arial"/>
                <w:color w:val="333333"/>
                <w:sz w:val="18"/>
                <w:szCs w:val="18"/>
              </w:rPr>
              <w:t>.</w:t>
            </w:r>
          </w:p>
        </w:tc>
      </w:tr>
      <w:tr w:rsidR="00060257">
        <w:tblPrEx>
          <w:tblCellSpacing w:w="7" w:type="dxa"/>
        </w:tblPrEx>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388"/>
              <w:gridCol w:w="6939"/>
            </w:tblGrid>
            <w:tr w:rsidR="00060257">
              <w:trPr>
                <w:tblCellSpacing w:w="0" w:type="dxa"/>
              </w:trPr>
              <w:tc>
                <w:tcPr>
                  <w:tcW w:w="0" w:type="auto"/>
                  <w:shd w:val="clear" w:color="auto" w:fill="E9E9E9"/>
                  <w:hideMark/>
                </w:tcPr>
                <w:p w:rsidR="00060257" w:rsidRDefault="00060257">
                  <w:pPr>
                    <w:spacing w:line="240" w:lineRule="auto"/>
                    <w:jc w:val="right"/>
                    <w:rPr>
                      <w:rFonts w:ascii="Arial" w:hAnsi="Arial" w:cs="Arial"/>
                      <w:sz w:val="18"/>
                      <w:szCs w:val="18"/>
                    </w:rPr>
                  </w:pPr>
                  <w:r>
                    <w:rPr>
                      <w:rFonts w:ascii="Arial" w:hAnsi="Arial" w:cs="Arial"/>
                      <w:sz w:val="18"/>
                      <w:szCs w:val="18"/>
                    </w:rPr>
                    <w:t>Предмет конкурса (тендера):</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Открытый одноэтапный конкурс без предварительного отбора на право заключения Договора на поставку бензина и дизтоплива по картам для нужд филиала АО "Тюменьэнерго" Ноябрьские электрические сети</w:t>
                  </w:r>
                  <w:r>
                    <w:rPr>
                      <w:rFonts w:ascii="Arial" w:hAnsi="Arial" w:cs="Arial"/>
                      <w:sz w:val="18"/>
                      <w:szCs w:val="18"/>
                    </w:rPr>
                    <w:br/>
                  </w:r>
                  <w:r>
                    <w:rPr>
                      <w:rFonts w:ascii="Arial" w:hAnsi="Arial" w:cs="Arial"/>
                      <w:b/>
                      <w:bCs/>
                      <w:sz w:val="18"/>
                      <w:szCs w:val="18"/>
                    </w:rPr>
                    <w:t>Лот № 1.</w:t>
                  </w:r>
                  <w:r>
                    <w:rPr>
                      <w:rFonts w:ascii="Arial" w:hAnsi="Arial" w:cs="Arial"/>
                      <w:sz w:val="18"/>
                      <w:szCs w:val="18"/>
                    </w:rPr>
                    <w:t xml:space="preserve"> Поставка бензина и дизтоплива по картам для нужд филиала АО "Тюменьэнерго" Ноябрьские электрические сети</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2320212 </w:t>
                  </w:r>
                  <w:hyperlink r:id="rId9" w:history="1">
                    <w:r>
                      <w:rPr>
                        <w:rFonts w:ascii="Arial" w:hAnsi="Arial" w:cs="Arial"/>
                        <w:color w:val="1C50A4"/>
                        <w:sz w:val="18"/>
                        <w:szCs w:val="18"/>
                      </w:rPr>
                      <w:t>Бензины автомобильные</w:t>
                    </w:r>
                  </w:hyperlink>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Категория ОКДП:</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2320210 </w:t>
                  </w:r>
                  <w:hyperlink r:id="rId10" w:history="1">
                    <w:r>
                      <w:rPr>
                        <w:rFonts w:ascii="Arial" w:hAnsi="Arial" w:cs="Arial"/>
                        <w:color w:val="1C50A4"/>
                        <w:sz w:val="18"/>
                        <w:szCs w:val="18"/>
                      </w:rPr>
                      <w:t>Бензины из нефтепродуктов</w:t>
                    </w:r>
                  </w:hyperlink>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060257" w:rsidRDefault="00060257" w:rsidP="00060257">
                  <w:pPr>
                    <w:rPr>
                      <w:rFonts w:ascii="Arial" w:hAnsi="Arial" w:cs="Arial"/>
                      <w:sz w:val="18"/>
                      <w:szCs w:val="18"/>
                    </w:rPr>
                  </w:pPr>
                  <w:r>
                    <w:rPr>
                      <w:rFonts w:ascii="Arial" w:hAnsi="Arial" w:cs="Arial"/>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7.75pt;height:17.75pt" o:ole="">
                        <v:imagedata r:id="rId11" o:title=""/>
                      </v:shape>
                      <w:control r:id="rId12" w:name="Объект 5" w:shapeid="_x0000_i1029"/>
                    </w:object>
                  </w:r>
                  <w:r>
                    <w:rPr>
                      <w:rFonts w:ascii="Arial" w:hAnsi="Arial" w:cs="Arial"/>
                      <w:sz w:val="18"/>
                      <w:szCs w:val="18"/>
                    </w:rPr>
                    <w:t xml:space="preserve">Производство нефтепродуктов; </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Дата публикации:</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22.09.2015 08:19</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Сроки поставки:</w:t>
                  </w:r>
                </w:p>
              </w:tc>
              <w:tc>
                <w:tcPr>
                  <w:tcW w:w="0" w:type="auto"/>
                  <w:shd w:val="clear" w:color="auto" w:fill="F7F7F7"/>
                  <w:hideMark/>
                </w:tcPr>
                <w:p w:rsidR="00060257" w:rsidRDefault="00060257">
                  <w:pPr>
                    <w:rPr>
                      <w:rFonts w:ascii="Arial" w:hAnsi="Arial" w:cs="Arial"/>
                      <w:sz w:val="18"/>
                      <w:szCs w:val="18"/>
                    </w:rPr>
                  </w:pPr>
                  <w:r>
                    <w:rPr>
                      <w:rFonts w:ascii="Arial" w:hAnsi="Arial" w:cs="Arial"/>
                      <w:b/>
                      <w:bCs/>
                      <w:sz w:val="18"/>
                      <w:szCs w:val="18"/>
                    </w:rPr>
                    <w:t>2016 Год</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ул. Холмогорская, 25, г. Ноябрьск, Ямало-Ненецкий автономный округ, Россия, 629804</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Местонахождение заказчика:</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628400, Россия, Тюменская область, г. Сургут, ХМАО, ул. Университетская, 4</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Контактное лицо:</w:t>
                  </w:r>
                </w:p>
              </w:tc>
              <w:tc>
                <w:tcPr>
                  <w:tcW w:w="0" w:type="auto"/>
                  <w:shd w:val="clear" w:color="auto" w:fill="E9E9E9"/>
                  <w:hideMark/>
                </w:tcPr>
                <w:p w:rsidR="00060257" w:rsidRDefault="00060257">
                  <w:pPr>
                    <w:rPr>
                      <w:rFonts w:ascii="Arial" w:hAnsi="Arial" w:cs="Arial"/>
                      <w:sz w:val="18"/>
                      <w:szCs w:val="18"/>
                    </w:rPr>
                  </w:pPr>
                  <w:hyperlink r:id="rId13" w:tgtFrame="_blank" w:tooltip="Отправить личное сообщение" w:history="1">
                    <w:r>
                      <w:rPr>
                        <w:rStyle w:val="userlinkmenu"/>
                        <w:rFonts w:ascii="Arial" w:hAnsi="Arial" w:cs="Arial"/>
                        <w:color w:val="1C50A4"/>
                        <w:sz w:val="18"/>
                        <w:szCs w:val="18"/>
                      </w:rPr>
                      <w:t>Бован Степан Федорович</w:t>
                    </w:r>
                  </w:hyperlink>
                  <w:r>
                    <w:rPr>
                      <w:rFonts w:ascii="Arial" w:hAnsi="Arial" w:cs="Arial"/>
                      <w:sz w:val="18"/>
                      <w:szCs w:val="18"/>
                    </w:rPr>
                    <w:t xml:space="preserve">, тел.+7 (3496) 36-21-48, </w:t>
                  </w:r>
                  <w:hyperlink r:id="rId14" w:history="1">
                    <w:r>
                      <w:rPr>
                        <w:rFonts w:ascii="Arial" w:hAnsi="Arial" w:cs="Arial"/>
                        <w:color w:val="1C50A4"/>
                        <w:sz w:val="18"/>
                        <w:szCs w:val="18"/>
                      </w:rPr>
                      <w:t>DArtamonov@nes.te.ru</w:t>
                    </w:r>
                  </w:hyperlink>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Конкурсная комиссия:</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Назначена приказом ОАО "Тюменьэнерго" от 16.07.2015 № 306</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Требования к участникам:</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 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Pr>
                      <w:rFonts w:ascii="Arial" w:hAnsi="Arial" w:cs="Arial"/>
                      <w:sz w:val="18"/>
                      <w:szCs w:val="18"/>
                    </w:rPr>
                    <w:br/>
                    <w:t>- Техническое и коммерческое предложения должны соответствовать требованиям Заказчика</w:t>
                  </w:r>
                  <w:r>
                    <w:rPr>
                      <w:rFonts w:ascii="Arial" w:hAnsi="Arial" w:cs="Arial"/>
                      <w:sz w:val="18"/>
                      <w:szCs w:val="18"/>
                    </w:rPr>
                    <w:br/>
                    <w:t>- Требования к благонадежности Участника, членам коллективного Участника, субподрядчика (соисполнителя/субпоставщика)</w:t>
                  </w:r>
                  <w:r>
                    <w:rPr>
                      <w:rFonts w:ascii="Arial" w:hAnsi="Arial" w:cs="Arial"/>
                      <w:sz w:val="18"/>
                      <w:szCs w:val="18"/>
                    </w:rPr>
                    <w:br/>
                    <w:t>а) Участник должен дать согласие на проведение проверки благонадежности Службой экономической безопасности АО «Тюменьэнерго»;</w:t>
                  </w:r>
                  <w:r>
                    <w:rPr>
                      <w:rFonts w:ascii="Arial" w:hAnsi="Arial" w:cs="Arial"/>
                      <w:sz w:val="18"/>
                      <w:szCs w:val="18"/>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Pr>
                      <w:rFonts w:ascii="Arial" w:hAnsi="Arial" w:cs="Arial"/>
                      <w:sz w:val="18"/>
                      <w:szCs w:val="18"/>
                    </w:rPr>
                    <w:br/>
                    <w:t>в) деятельность Участника должна быть безубыточной за последний завершенный год;</w:t>
                  </w:r>
                  <w:r>
                    <w:rPr>
                      <w:rFonts w:ascii="Arial" w:hAnsi="Arial" w:cs="Arial"/>
                      <w:sz w:val="18"/>
                      <w:szCs w:val="18"/>
                    </w:rPr>
                    <w:br/>
                    <w:t>г) экономическая деятельность Участника не должна быть приостановлена в административном порядке;</w:t>
                  </w:r>
                  <w:r>
                    <w:rPr>
                      <w:rFonts w:ascii="Arial" w:hAnsi="Arial" w:cs="Arial"/>
                      <w:sz w:val="18"/>
                      <w:szCs w:val="18"/>
                    </w:rPr>
                    <w:br/>
                    <w:t>д) Участник не должен иметь задолженность по уплате налогов;</w:t>
                  </w:r>
                  <w:r>
                    <w:rPr>
                      <w:rFonts w:ascii="Arial" w:hAnsi="Arial" w:cs="Arial"/>
                      <w:sz w:val="18"/>
                      <w:szCs w:val="18"/>
                    </w:rPr>
                    <w:br/>
                    <w:t>е) на имущество Участника не должен быть наложен арест;</w:t>
                  </w:r>
                  <w:r>
                    <w:rPr>
                      <w:rFonts w:ascii="Arial" w:hAnsi="Arial" w:cs="Arial"/>
                      <w:sz w:val="18"/>
                      <w:szCs w:val="18"/>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Pr>
                      <w:rFonts w:ascii="Arial" w:hAnsi="Arial" w:cs="Arial"/>
                      <w:sz w:val="18"/>
                      <w:szCs w:val="18"/>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Pr>
                      <w:rFonts w:ascii="Arial" w:hAnsi="Arial" w:cs="Arial"/>
                      <w:sz w:val="18"/>
                      <w:szCs w:val="18"/>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Pr>
                      <w:rFonts w:ascii="Arial" w:hAnsi="Arial" w:cs="Arial"/>
                      <w:sz w:val="18"/>
                      <w:szCs w:val="18"/>
                    </w:rPr>
                    <w:t>Россети</w:t>
                  </w:r>
                  <w:proofErr w:type="spellEnd"/>
                  <w:r>
                    <w:rPr>
                      <w:rFonts w:ascii="Arial" w:hAnsi="Arial" w:cs="Arial"/>
                      <w:sz w:val="18"/>
                      <w:szCs w:val="18"/>
                    </w:rPr>
                    <w:t>», ДЗО (ВЗО) ОАО «</w:t>
                  </w:r>
                  <w:proofErr w:type="spellStart"/>
                  <w:r>
                    <w:rPr>
                      <w:rFonts w:ascii="Arial" w:hAnsi="Arial" w:cs="Arial"/>
                      <w:sz w:val="18"/>
                      <w:szCs w:val="18"/>
                    </w:rPr>
                    <w:t>Россети</w:t>
                  </w:r>
                  <w:proofErr w:type="spellEnd"/>
                  <w:r>
                    <w:rPr>
                      <w:rFonts w:ascii="Arial" w:hAnsi="Arial" w:cs="Arial"/>
                      <w:sz w:val="18"/>
                      <w:szCs w:val="18"/>
                    </w:rPr>
                    <w:t>», а также родственниками работников ОАО «</w:t>
                  </w:r>
                  <w:proofErr w:type="spellStart"/>
                  <w:r>
                    <w:rPr>
                      <w:rFonts w:ascii="Arial" w:hAnsi="Arial" w:cs="Arial"/>
                      <w:sz w:val="18"/>
                      <w:szCs w:val="18"/>
                    </w:rPr>
                    <w:t>Россети</w:t>
                  </w:r>
                  <w:proofErr w:type="spellEnd"/>
                  <w:r>
                    <w:rPr>
                      <w:rFonts w:ascii="Arial" w:hAnsi="Arial" w:cs="Arial"/>
                      <w:sz w:val="18"/>
                      <w:szCs w:val="18"/>
                    </w:rPr>
                    <w:t>», ДЗО (ВЗО) ОАО «</w:t>
                  </w:r>
                  <w:proofErr w:type="spellStart"/>
                  <w:r>
                    <w:rPr>
                      <w:rFonts w:ascii="Arial" w:hAnsi="Arial" w:cs="Arial"/>
                      <w:sz w:val="18"/>
                      <w:szCs w:val="18"/>
                    </w:rPr>
                    <w:t>Россети</w:t>
                  </w:r>
                  <w:proofErr w:type="spellEnd"/>
                  <w:r>
                    <w:rPr>
                      <w:rFonts w:ascii="Arial" w:hAnsi="Arial" w:cs="Arial"/>
                      <w:sz w:val="18"/>
                      <w:szCs w:val="18"/>
                    </w:rPr>
                    <w:t>»;</w:t>
                  </w:r>
                  <w:r>
                    <w:rPr>
                      <w:rFonts w:ascii="Arial" w:hAnsi="Arial" w:cs="Arial"/>
                      <w:sz w:val="18"/>
                      <w:szCs w:val="18"/>
                    </w:rPr>
                    <w:br/>
                    <w:t>к) Участник не должен быть аффилирован к другим Участникам закупки;</w:t>
                  </w:r>
                  <w:r>
                    <w:rPr>
                      <w:rFonts w:ascii="Arial" w:hAnsi="Arial" w:cs="Arial"/>
                      <w:sz w:val="18"/>
                      <w:szCs w:val="18"/>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Pr>
                      <w:rFonts w:ascii="Arial" w:hAnsi="Arial" w:cs="Arial"/>
                      <w:sz w:val="18"/>
                      <w:szCs w:val="18"/>
                    </w:rPr>
                    <w:br/>
                    <w:t>м) отсутствие сведений о предстоящем исключении контрагента из ЕГРЮЛ/ЕГРИП;</w:t>
                  </w:r>
                  <w:r>
                    <w:rPr>
                      <w:rFonts w:ascii="Arial" w:hAnsi="Arial" w:cs="Arial"/>
                      <w:sz w:val="18"/>
                      <w:szCs w:val="18"/>
                    </w:rPr>
                    <w:br/>
                    <w:t>н) отсутствие фактов предоставления Участником недостоверных сведений и документов в рамках закупочной процедуры;</w:t>
                  </w:r>
                  <w:r>
                    <w:rPr>
                      <w:rFonts w:ascii="Arial" w:hAnsi="Arial" w:cs="Arial"/>
                      <w:sz w:val="18"/>
                      <w:szCs w:val="18"/>
                    </w:rPr>
                    <w:br/>
                  </w:r>
                  <w:r>
                    <w:rPr>
                      <w:rFonts w:ascii="Arial" w:hAnsi="Arial" w:cs="Arial"/>
                      <w:sz w:val="18"/>
                      <w:szCs w:val="18"/>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Pr>
                      <w:rFonts w:ascii="Arial" w:hAnsi="Arial" w:cs="Arial"/>
                      <w:sz w:val="18"/>
                      <w:szCs w:val="18"/>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Pr>
                      <w:rFonts w:ascii="Arial" w:hAnsi="Arial" w:cs="Arial"/>
                      <w:sz w:val="18"/>
                      <w:szCs w:val="18"/>
                    </w:rPr>
                    <w:t>ых</w:t>
                  </w:r>
                  <w:proofErr w:type="spellEnd"/>
                  <w:r>
                    <w:rPr>
                      <w:rFonts w:ascii="Arial" w:hAnsi="Arial" w:cs="Arial"/>
                      <w:sz w:val="18"/>
                      <w:szCs w:val="18"/>
                    </w:rPr>
                    <w:t>) с Участником закупки договора(</w:t>
                  </w:r>
                  <w:proofErr w:type="spellStart"/>
                  <w:r>
                    <w:rPr>
                      <w:rFonts w:ascii="Arial" w:hAnsi="Arial" w:cs="Arial"/>
                      <w:sz w:val="18"/>
                      <w:szCs w:val="18"/>
                    </w:rPr>
                    <w:t>ов</w:t>
                  </w:r>
                  <w:proofErr w:type="spellEnd"/>
                  <w:r>
                    <w:rPr>
                      <w:rFonts w:ascii="Arial" w:hAnsi="Arial" w:cs="Arial"/>
                      <w:sz w:val="18"/>
                      <w:szCs w:val="18"/>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Pr>
                      <w:rFonts w:ascii="Arial" w:hAnsi="Arial" w:cs="Arial"/>
                      <w:sz w:val="18"/>
                      <w:szCs w:val="18"/>
                    </w:rPr>
                    <w:t>ых</w:t>
                  </w:r>
                  <w:proofErr w:type="spellEnd"/>
                  <w:r>
                    <w:rPr>
                      <w:rFonts w:ascii="Arial" w:hAnsi="Arial" w:cs="Arial"/>
                      <w:sz w:val="18"/>
                      <w:szCs w:val="18"/>
                    </w:rPr>
                    <w:t>) с АО "</w:t>
                  </w:r>
                  <w:proofErr w:type="spellStart"/>
                  <w:r>
                    <w:rPr>
                      <w:rFonts w:ascii="Arial" w:hAnsi="Arial" w:cs="Arial"/>
                      <w:sz w:val="18"/>
                      <w:szCs w:val="18"/>
                    </w:rPr>
                    <w:t>Тюменьэнерго"договора</w:t>
                  </w:r>
                  <w:proofErr w:type="spellEnd"/>
                  <w:r>
                    <w:rPr>
                      <w:rFonts w:ascii="Arial" w:hAnsi="Arial" w:cs="Arial"/>
                      <w:sz w:val="18"/>
                      <w:szCs w:val="18"/>
                    </w:rPr>
                    <w:t xml:space="preserve"> (</w:t>
                  </w:r>
                  <w:proofErr w:type="spellStart"/>
                  <w:r>
                    <w:rPr>
                      <w:rFonts w:ascii="Arial" w:hAnsi="Arial" w:cs="Arial"/>
                      <w:sz w:val="18"/>
                      <w:szCs w:val="18"/>
                    </w:rPr>
                    <w:t>ов</w:t>
                  </w:r>
                  <w:proofErr w:type="spellEnd"/>
                  <w:r>
                    <w:rPr>
                      <w:rFonts w:ascii="Arial" w:hAnsi="Arial" w:cs="Arial"/>
                      <w:sz w:val="18"/>
                      <w:szCs w:val="18"/>
                    </w:rPr>
                    <w:t>)</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Комплект конкурсной документации:</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Конкурсная документация:</w:t>
                  </w:r>
                </w:p>
              </w:tc>
              <w:tc>
                <w:tcPr>
                  <w:tcW w:w="0" w:type="auto"/>
                  <w:shd w:val="clear" w:color="auto" w:fill="E9E9E9"/>
                  <w:hideMark/>
                </w:tcPr>
                <w:p w:rsidR="00060257" w:rsidRDefault="00060257" w:rsidP="00060257">
                  <w:pPr>
                    <w:rPr>
                      <w:rFonts w:ascii="Arial" w:hAnsi="Arial" w:cs="Arial"/>
                      <w:sz w:val="18"/>
                      <w:szCs w:val="18"/>
                    </w:rPr>
                  </w:pPr>
                  <w:hyperlink r:id="rId15" w:tgtFrame="_blank" w:history="1">
                    <w:r>
                      <w:rPr>
                        <w:rFonts w:ascii="Arial" w:hAnsi="Arial" w:cs="Arial"/>
                        <w:color w:val="1C50A4"/>
                        <w:sz w:val="18"/>
                        <w:szCs w:val="18"/>
                      </w:rPr>
                      <w:t xml:space="preserve">Скачать файл </w:t>
                    </w:r>
                    <w:r>
                      <w:rPr>
                        <w:rFonts w:ascii="Arial" w:hAnsi="Arial" w:cs="Arial"/>
                        <w:b/>
                        <w:bCs/>
                        <w:color w:val="1C50A4"/>
                        <w:sz w:val="18"/>
                        <w:szCs w:val="18"/>
                      </w:rPr>
                      <w:t>ЗД_2015.0756.zip</w:t>
                    </w:r>
                  </w:hyperlink>
                  <w:r>
                    <w:rPr>
                      <w:rFonts w:ascii="Arial" w:hAnsi="Arial" w:cs="Arial"/>
                      <w:sz w:val="18"/>
                      <w:szCs w:val="18"/>
                    </w:rPr>
                    <w:t> (3.7 МБ)</w:t>
                  </w:r>
                </w:p>
                <w:p w:rsidR="00060257" w:rsidRDefault="00060257">
                  <w:pPr>
                    <w:rPr>
                      <w:rFonts w:ascii="Arial" w:hAnsi="Arial" w:cs="Arial"/>
                      <w:sz w:val="18"/>
                      <w:szCs w:val="18"/>
                    </w:rPr>
                  </w:pPr>
                  <w:hyperlink r:id="rId16" w:history="1">
                    <w:r>
                      <w:rPr>
                        <w:rFonts w:ascii="Arial" w:hAnsi="Arial" w:cs="Arial"/>
                        <w:b/>
                        <w:bCs/>
                        <w:color w:val="1C50A4"/>
                        <w:sz w:val="18"/>
                        <w:szCs w:val="18"/>
                      </w:rPr>
                      <w:t>Редактировать конкурсную документацию</w:t>
                    </w:r>
                  </w:hyperlink>
                </w:p>
                <w:p w:rsidR="00060257" w:rsidRDefault="00060257" w:rsidP="00060257">
                  <w:pPr>
                    <w:rPr>
                      <w:rFonts w:ascii="Arial" w:hAnsi="Arial" w:cs="Arial"/>
                      <w:sz w:val="18"/>
                      <w:szCs w:val="18"/>
                    </w:rPr>
                  </w:pPr>
                  <w:hyperlink r:id="rId17" w:tgtFrame="signature" w:history="1">
                    <w:r>
                      <w:rPr>
                        <w:rFonts w:ascii="Arial" w:hAnsi="Arial" w:cs="Arial"/>
                        <w:color w:val="1C50A4"/>
                        <w:sz w:val="18"/>
                        <w:szCs w:val="18"/>
                      </w:rPr>
                      <w:t>Подписана ЭП</w:t>
                    </w:r>
                  </w:hyperlink>
                </w:p>
                <w:p w:rsidR="00060257" w:rsidRDefault="00060257" w:rsidP="00060257">
                  <w:pPr>
                    <w:rPr>
                      <w:rFonts w:ascii="Arial" w:hAnsi="Arial" w:cs="Arial"/>
                      <w:sz w:val="18"/>
                      <w:szCs w:val="18"/>
                    </w:rPr>
                  </w:pPr>
                  <w:hyperlink r:id="rId18" w:history="1">
                    <w:r>
                      <w:rPr>
                        <w:rFonts w:ascii="Arial" w:hAnsi="Arial" w:cs="Arial"/>
                        <w:color w:val="1C50A4"/>
                        <w:sz w:val="18"/>
                        <w:szCs w:val="18"/>
                      </w:rPr>
                      <w:t>Перевести документацию на другой язык</w:t>
                    </w:r>
                  </w:hyperlink>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Порядок предоставления конкурсной документации:</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Обеспечение конкурсных заявок, кроме банковских гарантий:</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Неустойка на сумму 10% от общей стоимости Конкурсной заявки. Участника конкурса (с учетом налогов)</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Конкурсные заявки:</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Цена с НДС</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Место вскрытия конвертов:</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Дата окончания подачи заявок:</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 xml:space="preserve">Вскрытие конвертов с заявками состоится </w:t>
                  </w:r>
                  <w:r>
                    <w:rPr>
                      <w:rFonts w:ascii="Arial" w:hAnsi="Arial" w:cs="Arial"/>
                      <w:b/>
                      <w:bCs/>
                      <w:sz w:val="18"/>
                      <w:szCs w:val="18"/>
                    </w:rPr>
                    <w:t>12.10.2015 в 08:30 по московскому времени</w:t>
                  </w:r>
                  <w:r>
                    <w:rPr>
                      <w:rFonts w:ascii="Arial" w:hAnsi="Arial" w:cs="Arial"/>
                      <w:sz w:val="18"/>
                      <w:szCs w:val="18"/>
                    </w:rPr>
                    <w:t>.</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Дата рассмотрения заявок:</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01.11.2015 15:00</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Место рассмотрения заявок:</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 xml:space="preserve">629804, Россия, </w:t>
                  </w:r>
                  <w:proofErr w:type="spellStart"/>
                  <w:r>
                    <w:rPr>
                      <w:rFonts w:ascii="Arial" w:hAnsi="Arial" w:cs="Arial"/>
                      <w:sz w:val="18"/>
                      <w:szCs w:val="18"/>
                    </w:rPr>
                    <w:t>г.Ноябрьск</w:t>
                  </w:r>
                  <w:proofErr w:type="spellEnd"/>
                  <w:r>
                    <w:rPr>
                      <w:rFonts w:ascii="Arial" w:hAnsi="Arial" w:cs="Arial"/>
                      <w:sz w:val="18"/>
                      <w:szCs w:val="18"/>
                    </w:rPr>
                    <w:t xml:space="preserve">, Тюменская обл., ЯНАО, </w:t>
                  </w:r>
                  <w:proofErr w:type="spellStart"/>
                  <w:r>
                    <w:rPr>
                      <w:rFonts w:ascii="Arial" w:hAnsi="Arial" w:cs="Arial"/>
                      <w:sz w:val="18"/>
                      <w:szCs w:val="18"/>
                    </w:rPr>
                    <w:t>ул.Холмогорская</w:t>
                  </w:r>
                  <w:proofErr w:type="spellEnd"/>
                  <w:r>
                    <w:rPr>
                      <w:rFonts w:ascii="Arial" w:hAnsi="Arial" w:cs="Arial"/>
                      <w:sz w:val="18"/>
                      <w:szCs w:val="18"/>
                    </w:rPr>
                    <w:t>, 25, АБК НЭС</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11.11.2015 15:00</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Место подведения итогов:</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 xml:space="preserve">629804, Россия, </w:t>
                  </w:r>
                  <w:proofErr w:type="spellStart"/>
                  <w:r>
                    <w:rPr>
                      <w:rFonts w:ascii="Arial" w:hAnsi="Arial" w:cs="Arial"/>
                      <w:sz w:val="18"/>
                      <w:szCs w:val="18"/>
                    </w:rPr>
                    <w:t>г.Ноябрьск</w:t>
                  </w:r>
                  <w:proofErr w:type="spellEnd"/>
                  <w:r>
                    <w:rPr>
                      <w:rFonts w:ascii="Arial" w:hAnsi="Arial" w:cs="Arial"/>
                      <w:sz w:val="18"/>
                      <w:szCs w:val="18"/>
                    </w:rPr>
                    <w:t xml:space="preserve">, Тюменская обл., ЯНАО, </w:t>
                  </w:r>
                  <w:proofErr w:type="spellStart"/>
                  <w:r>
                    <w:rPr>
                      <w:rFonts w:ascii="Arial" w:hAnsi="Arial" w:cs="Arial"/>
                      <w:sz w:val="18"/>
                      <w:szCs w:val="18"/>
                    </w:rPr>
                    <w:t>ул.Холмогорская</w:t>
                  </w:r>
                  <w:proofErr w:type="spellEnd"/>
                  <w:r>
                    <w:rPr>
                      <w:rFonts w:ascii="Arial" w:hAnsi="Arial" w:cs="Arial"/>
                      <w:sz w:val="18"/>
                      <w:szCs w:val="18"/>
                    </w:rPr>
                    <w:t>, 25, АБК НЭС</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Критерии выбора победителя и сроки заключения договора:</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Pr>
                      <w:rFonts w:ascii="Arial" w:hAnsi="Arial" w:cs="Arial"/>
                      <w:sz w:val="18"/>
                      <w:szCs w:val="18"/>
                    </w:rPr>
                    <w:t>ранжировке</w:t>
                  </w:r>
                  <w:proofErr w:type="spellEnd"/>
                  <w:r>
                    <w:rPr>
                      <w:rFonts w:ascii="Arial"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конкурса подписывается на основании Протокола о результатах конкурса в течение 20 календарных дней. Организатор Конкурса вправе, при необходимости, изменить данный срок</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Лимитная (начальная) цена закупки:</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Лот № 1. 31 216 310,69 руб. (цена с НДС)</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Переторжка:</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Организатор конкурса имеет право воспользоваться правом на проведение переторжки.</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Поставщик не должен находиться в реестре недобросовестных поставщиков:</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Да</w: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Дополнительная информация о конкурсе:</w:t>
                  </w:r>
                </w:p>
              </w:tc>
              <w:tc>
                <w:tcPr>
                  <w:tcW w:w="0" w:type="auto"/>
                  <w:shd w:val="clear" w:color="auto" w:fill="F7F7F7"/>
                  <w:hideMark/>
                </w:tcPr>
                <w:p w:rsidR="00060257" w:rsidRDefault="00060257">
                  <w:pPr>
                    <w:rPr>
                      <w:rFonts w:ascii="Arial" w:hAnsi="Arial" w:cs="Arial"/>
                      <w:sz w:val="18"/>
                      <w:szCs w:val="18"/>
                    </w:rPr>
                  </w:pPr>
                  <w:r>
                    <w:rPr>
                      <w:rFonts w:ascii="Arial" w:hAnsi="Arial" w:cs="Arial"/>
                      <w:sz w:val="18"/>
                      <w:szCs w:val="18"/>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Pr>
                      <w:rFonts w:ascii="Arial" w:hAnsi="Arial" w:cs="Arial"/>
                      <w:sz w:val="18"/>
                      <w:szCs w:val="18"/>
                    </w:rPr>
                    <w:br/>
                    <w:t xml:space="preserve">Информация о закупке размещена на Официальном сайте РФ – www.zakupki.gov.ru, на </w:t>
                  </w:r>
                  <w:proofErr w:type="spellStart"/>
                  <w:r>
                    <w:rPr>
                      <w:rFonts w:ascii="Arial" w:hAnsi="Arial" w:cs="Arial"/>
                      <w:sz w:val="18"/>
                      <w:szCs w:val="18"/>
                    </w:rPr>
                    <w:t>электронно</w:t>
                  </w:r>
                  <w:proofErr w:type="spellEnd"/>
                  <w:r>
                    <w:rPr>
                      <w:rFonts w:ascii="Arial" w:hAnsi="Arial" w:cs="Arial"/>
                      <w:sz w:val="18"/>
                      <w:szCs w:val="18"/>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Pr>
                      <w:rFonts w:ascii="Arial"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Pr>
                      <w:rFonts w:ascii="Arial" w:hAnsi="Arial" w:cs="Arial"/>
                      <w:sz w:val="18"/>
                      <w:szCs w:val="18"/>
                    </w:rPr>
                    <w:br/>
                    <w:t>Условия договора, заключаемого по результатам закупки, указаны в Приложении № 2 к закупочной документации «Проект договора».</w:t>
                  </w:r>
                  <w:r>
                    <w:rPr>
                      <w:rFonts w:ascii="Arial" w:hAnsi="Arial" w:cs="Arial"/>
                      <w:sz w:val="18"/>
                      <w:szCs w:val="18"/>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Pr>
                      <w:rFonts w:ascii="Arial" w:hAnsi="Arial" w:cs="Arial"/>
                      <w:sz w:val="18"/>
                      <w:szCs w:val="18"/>
                    </w:rPr>
                    <w:t>ранжировке</w:t>
                  </w:r>
                  <w:proofErr w:type="spellEnd"/>
                  <w:r>
                    <w:rPr>
                      <w:rFonts w:ascii="Arial" w:hAnsi="Arial" w:cs="Arial"/>
                      <w:sz w:val="18"/>
                      <w:szCs w:val="18"/>
                    </w:rPr>
                    <w:t xml:space="preserve">, прохождения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 подтверждения его соответствия квалификационным требованиям. </w:t>
                  </w:r>
                  <w:proofErr w:type="spellStart"/>
                  <w:r>
                    <w:rPr>
                      <w:rFonts w:ascii="Arial" w:hAnsi="Arial" w:cs="Arial"/>
                      <w:sz w:val="18"/>
                      <w:szCs w:val="18"/>
                    </w:rPr>
                    <w:t>Постквалификация</w:t>
                  </w:r>
                  <w:proofErr w:type="spellEnd"/>
                  <w:r>
                    <w:rPr>
                      <w:rFonts w:ascii="Arial" w:hAnsi="Arial" w:cs="Arial"/>
                      <w:sz w:val="18"/>
                      <w:szCs w:val="18"/>
                    </w:rPr>
                    <w:t xml:space="preserve"> проводится по критериям, указанным в Конкурсной документации. </w:t>
                  </w:r>
                  <w:proofErr w:type="spellStart"/>
                  <w:r>
                    <w:rPr>
                      <w:rFonts w:ascii="Arial" w:hAnsi="Arial" w:cs="Arial"/>
                      <w:sz w:val="18"/>
                      <w:szCs w:val="18"/>
                    </w:rPr>
                    <w:t>Постквалификация</w:t>
                  </w:r>
                  <w:proofErr w:type="spellEnd"/>
                  <w:r>
                    <w:rPr>
                      <w:rFonts w:ascii="Arial" w:hAnsi="Arial" w:cs="Arial"/>
                      <w:sz w:val="18"/>
                      <w:szCs w:val="18"/>
                    </w:rPr>
                    <w:t xml:space="preserve"> может проводиться как по всем критериям, так и выборочно. Отказ Участника от проведения </w:t>
                  </w:r>
                  <w:proofErr w:type="spellStart"/>
                  <w:r>
                    <w:rPr>
                      <w:rFonts w:ascii="Arial" w:hAnsi="Arial" w:cs="Arial"/>
                      <w:sz w:val="18"/>
                      <w:szCs w:val="18"/>
                    </w:rPr>
                    <w:t>постквалификации</w:t>
                  </w:r>
                  <w:proofErr w:type="spellEnd"/>
                  <w:r>
                    <w:rPr>
                      <w:rFonts w:ascii="Arial" w:hAnsi="Arial" w:cs="Arial"/>
                      <w:sz w:val="18"/>
                      <w:szCs w:val="18"/>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Pr>
                      <w:rFonts w:ascii="Arial" w:hAnsi="Arial" w:cs="Arial"/>
                      <w:sz w:val="18"/>
                      <w:szCs w:val="18"/>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8"/>
                      <w:szCs w:val="18"/>
                    </w:rPr>
                    <w:br/>
                  </w:r>
                  <w:r>
                    <w:rPr>
                      <w:rFonts w:ascii="Arial" w:hAnsi="Arial" w:cs="Arial"/>
                      <w:sz w:val="18"/>
                      <w:szCs w:val="18"/>
                    </w:rPr>
                    <w:br/>
                    <w:t>Телефон, факс, адрес электронной почты контактных лиц:</w:t>
                  </w:r>
                  <w:r>
                    <w:rPr>
                      <w:rFonts w:ascii="Arial" w:hAnsi="Arial" w:cs="Arial"/>
                      <w:sz w:val="18"/>
                      <w:szCs w:val="18"/>
                    </w:rPr>
                    <w:br/>
                  </w:r>
                  <w:r>
                    <w:rPr>
                      <w:rFonts w:ascii="Arial" w:hAnsi="Arial" w:cs="Arial"/>
                      <w:sz w:val="18"/>
                      <w:szCs w:val="18"/>
                    </w:rPr>
                    <w:br/>
                    <w:t xml:space="preserve">1. По техническим вопросам: </w:t>
                  </w:r>
                  <w:proofErr w:type="spellStart"/>
                  <w:r>
                    <w:rPr>
                      <w:rFonts w:ascii="Arial" w:hAnsi="Arial" w:cs="Arial"/>
                      <w:sz w:val="18"/>
                      <w:szCs w:val="18"/>
                    </w:rPr>
                    <w:t>Шпундова</w:t>
                  </w:r>
                  <w:proofErr w:type="spellEnd"/>
                  <w:r>
                    <w:rPr>
                      <w:rFonts w:ascii="Arial" w:hAnsi="Arial" w:cs="Arial"/>
                      <w:sz w:val="18"/>
                      <w:szCs w:val="18"/>
                    </w:rPr>
                    <w:t xml:space="preserve"> Ольга Васильевна, начальник </w:t>
                  </w:r>
                  <w:proofErr w:type="spellStart"/>
                  <w:r>
                    <w:rPr>
                      <w:rFonts w:ascii="Arial" w:hAnsi="Arial" w:cs="Arial"/>
                      <w:sz w:val="18"/>
                      <w:szCs w:val="18"/>
                    </w:rPr>
                    <w:t>ОЛиМТО</w:t>
                  </w:r>
                  <w:proofErr w:type="spellEnd"/>
                  <w:r>
                    <w:rPr>
                      <w:rFonts w:ascii="Arial" w:hAnsi="Arial" w:cs="Arial"/>
                      <w:sz w:val="18"/>
                      <w:szCs w:val="18"/>
                    </w:rPr>
                    <w:t>, тел. +7 (3496) 36-23-68, е-</w:t>
                  </w:r>
                  <w:proofErr w:type="spellStart"/>
                  <w:r>
                    <w:rPr>
                      <w:rFonts w:ascii="Arial" w:hAnsi="Arial" w:cs="Arial"/>
                      <w:sz w:val="18"/>
                      <w:szCs w:val="18"/>
                    </w:rPr>
                    <w:t>mail</w:t>
                  </w:r>
                  <w:proofErr w:type="spellEnd"/>
                  <w:r>
                    <w:rPr>
                      <w:rFonts w:ascii="Arial" w:hAnsi="Arial" w:cs="Arial"/>
                      <w:sz w:val="18"/>
                      <w:szCs w:val="18"/>
                    </w:rPr>
                    <w:t>: OShpundova@nes.te.ru</w:t>
                  </w:r>
                  <w:r>
                    <w:rPr>
                      <w:rFonts w:ascii="Arial" w:hAnsi="Arial" w:cs="Arial"/>
                      <w:sz w:val="18"/>
                      <w:szCs w:val="18"/>
                    </w:rPr>
                    <w:br/>
                    <w:t>2. По организационным вопросам: Артамонов Дмитрий Николаевич – инженер ПТО, тел.: (3496) 36-21-48, E-</w:t>
                  </w:r>
                  <w:proofErr w:type="spellStart"/>
                  <w:r>
                    <w:rPr>
                      <w:rFonts w:ascii="Arial" w:hAnsi="Arial" w:cs="Arial"/>
                      <w:sz w:val="18"/>
                      <w:szCs w:val="18"/>
                    </w:rPr>
                    <w:t>mail</w:t>
                  </w:r>
                  <w:proofErr w:type="spellEnd"/>
                  <w:r>
                    <w:rPr>
                      <w:rFonts w:ascii="Arial" w:hAnsi="Arial" w:cs="Arial"/>
                      <w:sz w:val="18"/>
                      <w:szCs w:val="18"/>
                    </w:rPr>
                    <w:t xml:space="preserve">: DArtamonov@nes.te.ru (размер одного файла не должен превышать 5 </w:t>
                  </w:r>
                  <w:proofErr w:type="gramStart"/>
                  <w:r>
                    <w:rPr>
                      <w:rFonts w:ascii="Arial" w:hAnsi="Arial" w:cs="Arial"/>
                      <w:sz w:val="18"/>
                      <w:szCs w:val="18"/>
                    </w:rPr>
                    <w:t>мегабайт)</w:t>
                  </w:r>
                  <w:r>
                    <w:rPr>
                      <w:rFonts w:ascii="Arial" w:hAnsi="Arial" w:cs="Arial"/>
                      <w:sz w:val="18"/>
                      <w:szCs w:val="18"/>
                    </w:rPr>
                    <w:br/>
                  </w:r>
                  <w:r>
                    <w:rPr>
                      <w:rFonts w:ascii="Arial" w:hAnsi="Arial" w:cs="Arial"/>
                      <w:sz w:val="18"/>
                      <w:szCs w:val="18"/>
                    </w:rPr>
                    <w:br/>
                    <w:t>Остальные</w:t>
                  </w:r>
                  <w:proofErr w:type="gramEnd"/>
                  <w:r>
                    <w:rPr>
                      <w:rFonts w:ascii="Arial" w:hAnsi="Arial" w:cs="Arial"/>
                      <w:sz w:val="18"/>
                      <w:szCs w:val="18"/>
                    </w:rPr>
                    <w:t xml:space="preserve"> и более подробные условия Конкурса содержатся в Конкурсной документации, являющейся неотъемлемым приложением к данному Извещению.</w:t>
                  </w: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Адрес места поставки товара, проведения работ или оказания услуг:</w:t>
                  </w:r>
                </w:p>
              </w:tc>
              <w:tc>
                <w:tcPr>
                  <w:tcW w:w="0" w:type="auto"/>
                  <w:shd w:val="clear" w:color="auto" w:fill="E9E9E9"/>
                  <w:hideMark/>
                </w:tcPr>
                <w:p w:rsidR="00060257" w:rsidRDefault="00060257">
                  <w:pPr>
                    <w:rPr>
                      <w:rFonts w:ascii="Arial" w:hAnsi="Arial" w:cs="Arial"/>
                      <w:sz w:val="18"/>
                      <w:szCs w:val="18"/>
                    </w:rPr>
                  </w:pPr>
                  <w:hyperlink w:history="1">
                    <w:r>
                      <w:rPr>
                        <w:rFonts w:ascii="Arial" w:hAnsi="Arial" w:cs="Arial"/>
                        <w:color w:val="1C50A4"/>
                        <w:sz w:val="18"/>
                        <w:szCs w:val="18"/>
                      </w:rPr>
                      <w:t>ул. Холмогорская, 25, г. Ноябрьск, Ямало-Ненецкий автономный округ, Россия, 629804</w:t>
                    </w:r>
                  </w:hyperlink>
                  <w:r>
                    <w:rPr>
                      <w:rFonts w:ascii="Arial" w:hAnsi="Arial" w:cs="Arial"/>
                      <w:sz w:val="18"/>
                      <w:szCs w:val="18"/>
                    </w:rPr>
                    <w:t xml:space="preserve"> </w:t>
                  </w:r>
                  <w:r>
                    <w:rPr>
                      <w:rFonts w:ascii="Arial" w:hAnsi="Arial" w:cs="Arial"/>
                      <w:sz w:val="18"/>
                      <w:szCs w:val="18"/>
                    </w:rPr>
                    <w:pict/>
                  </w:r>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23"/>
                    <w:gridCol w:w="3426"/>
                  </w:tblGrid>
                  <w:tr w:rsidR="00060257">
                    <w:trPr>
                      <w:tblCellSpacing w:w="15" w:type="dxa"/>
                    </w:trPr>
                    <w:tc>
                      <w:tcPr>
                        <w:tcW w:w="3750" w:type="dxa"/>
                        <w:tcMar>
                          <w:top w:w="45" w:type="dxa"/>
                          <w:left w:w="45" w:type="dxa"/>
                          <w:bottom w:w="45" w:type="dxa"/>
                          <w:right w:w="45" w:type="dxa"/>
                        </w:tcMar>
                        <w:hideMark/>
                      </w:tcPr>
                      <w:p w:rsidR="00060257" w:rsidRDefault="00060257">
                        <w:pPr>
                          <w:rPr>
                            <w:rFonts w:ascii="Arial" w:hAnsi="Arial" w:cs="Arial"/>
                            <w:sz w:val="18"/>
                            <w:szCs w:val="18"/>
                          </w:rPr>
                        </w:pPr>
                        <w:r>
                          <w:rPr>
                            <w:rFonts w:ascii="Arial" w:hAnsi="Arial" w:cs="Arial"/>
                            <w:sz w:val="18"/>
                            <w:szCs w:val="18"/>
                          </w:rPr>
                          <w:pict/>
                        </w:r>
                        <w:r>
                          <w:rPr>
                            <w:rFonts w:ascii="Arial" w:hAnsi="Arial" w:cs="Arial"/>
                            <w:b/>
                            <w:bCs/>
                            <w:sz w:val="18"/>
                            <w:szCs w:val="18"/>
                          </w:rPr>
                          <w:t>Извещение [</w:t>
                        </w:r>
                        <w:hyperlink r:id="rId19" w:history="1">
                          <w:r>
                            <w:rPr>
                              <w:rFonts w:ascii="Arial" w:hAnsi="Arial" w:cs="Arial"/>
                              <w:b/>
                              <w:bCs/>
                              <w:color w:val="1C50A4"/>
                              <w:sz w:val="18"/>
                              <w:szCs w:val="18"/>
                            </w:rPr>
                            <w:t>XML</w:t>
                          </w:r>
                        </w:hyperlink>
                        <w:r>
                          <w:rPr>
                            <w:rFonts w:ascii="Arial" w:hAnsi="Arial" w:cs="Arial"/>
                            <w:b/>
                            <w:bCs/>
                            <w:sz w:val="18"/>
                            <w:szCs w:val="18"/>
                          </w:rPr>
                          <w:t xml:space="preserve">] </w:t>
                        </w:r>
                      </w:p>
                      <w:p w:rsidR="00060257" w:rsidRDefault="00060257">
                        <w:pPr>
                          <w:pStyle w:val="a5"/>
                          <w:rPr>
                            <w:rFonts w:ascii="Arial" w:hAnsi="Arial" w:cs="Arial"/>
                            <w:sz w:val="18"/>
                            <w:szCs w:val="18"/>
                          </w:rPr>
                        </w:pPr>
                        <w:r>
                          <w:rPr>
                            <w:rFonts w:ascii="Arial" w:hAnsi="Arial" w:cs="Arial"/>
                            <w:sz w:val="18"/>
                            <w:szCs w:val="18"/>
                          </w:rPr>
                          <w:t>Процедура еще не была выгружена.</w:t>
                        </w:r>
                        <w:r>
                          <w:rPr>
                            <w:rFonts w:ascii="Arial" w:hAnsi="Arial" w:cs="Arial"/>
                            <w:sz w:val="18"/>
                            <w:szCs w:val="18"/>
                          </w:rPr>
                          <w:br/>
                        </w:r>
                        <w:r>
                          <w:rPr>
                            <w:rFonts w:ascii="Arial" w:hAnsi="Arial" w:cs="Arial"/>
                            <w:color w:val="CC9300"/>
                            <w:sz w:val="18"/>
                            <w:szCs w:val="18"/>
                          </w:rPr>
                          <w:t>Ожидает выгрузки в очереди.</w:t>
                        </w:r>
                      </w:p>
                    </w:tc>
                    <w:tc>
                      <w:tcPr>
                        <w:tcW w:w="3750" w:type="dxa"/>
                        <w:tcMar>
                          <w:top w:w="45" w:type="dxa"/>
                          <w:left w:w="45" w:type="dxa"/>
                          <w:bottom w:w="45" w:type="dxa"/>
                          <w:right w:w="45" w:type="dxa"/>
                        </w:tcMar>
                        <w:hideMark/>
                      </w:tcPr>
                      <w:p w:rsidR="00060257" w:rsidRDefault="00060257">
                        <w:pPr>
                          <w:rPr>
                            <w:rFonts w:ascii="Arial" w:hAnsi="Arial" w:cs="Arial"/>
                            <w:sz w:val="18"/>
                            <w:szCs w:val="18"/>
                          </w:rPr>
                        </w:pPr>
                        <w:r>
                          <w:rPr>
                            <w:rFonts w:ascii="Arial" w:hAnsi="Arial" w:cs="Arial"/>
                            <w:b/>
                            <w:bCs/>
                            <w:sz w:val="18"/>
                            <w:szCs w:val="18"/>
                          </w:rPr>
                          <w:t>Протоколы</w:t>
                        </w:r>
                      </w:p>
                      <w:p w:rsidR="00060257" w:rsidRDefault="00060257">
                        <w:pPr>
                          <w:pStyle w:val="gray-text"/>
                          <w:rPr>
                            <w:rFonts w:ascii="Arial" w:hAnsi="Arial" w:cs="Arial"/>
                            <w:sz w:val="18"/>
                            <w:szCs w:val="18"/>
                          </w:rPr>
                        </w:pPr>
                        <w:r>
                          <w:rPr>
                            <w:rFonts w:ascii="Arial" w:hAnsi="Arial" w:cs="Arial"/>
                            <w:sz w:val="18"/>
                            <w:szCs w:val="18"/>
                          </w:rPr>
                          <w:t>Протоколы отсутствуют</w:t>
                        </w:r>
                      </w:p>
                    </w:tc>
                  </w:tr>
                </w:tbl>
                <w:p w:rsidR="00060257" w:rsidRDefault="00060257">
                  <w:pPr>
                    <w:rPr>
                      <w:rFonts w:ascii="Arial" w:hAnsi="Arial" w:cs="Arial"/>
                      <w:sz w:val="18"/>
                      <w:szCs w:val="18"/>
                    </w:rPr>
                  </w:pPr>
                </w:p>
              </w:tc>
            </w:tr>
            <w:tr w:rsidR="00060257">
              <w:trPr>
                <w:tblCellSpacing w:w="0" w:type="dxa"/>
              </w:trPr>
              <w:tc>
                <w:tcPr>
                  <w:tcW w:w="0" w:type="auto"/>
                  <w:shd w:val="clear" w:color="auto" w:fill="E9E9E9"/>
                  <w:hideMark/>
                </w:tcPr>
                <w:p w:rsidR="00060257" w:rsidRDefault="00060257">
                  <w:pPr>
                    <w:jc w:val="right"/>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E9E9E9"/>
                  <w:hideMark/>
                </w:tcPr>
                <w:p w:rsidR="00060257" w:rsidRDefault="00060257">
                  <w:pPr>
                    <w:rPr>
                      <w:rFonts w:ascii="Arial" w:hAnsi="Arial" w:cs="Arial"/>
                      <w:sz w:val="18"/>
                      <w:szCs w:val="18"/>
                    </w:rPr>
                  </w:pPr>
                  <w:r>
                    <w:rPr>
                      <w:rFonts w:ascii="Arial" w:hAnsi="Arial" w:cs="Arial"/>
                      <w:sz w:val="18"/>
                      <w:szCs w:val="18"/>
                    </w:rPr>
                    <w:t xml:space="preserve">22.09.2015 08:18, </w:t>
                  </w:r>
                  <w:hyperlink r:id="rId20" w:tgtFrame="_blank" w:tooltip="Отправить личное сообщение" w:history="1">
                    <w:proofErr w:type="spellStart"/>
                    <w:r>
                      <w:rPr>
                        <w:rStyle w:val="userlinkmenu"/>
                        <w:rFonts w:ascii="Arial" w:hAnsi="Arial" w:cs="Arial"/>
                        <w:color w:val="1C50A4"/>
                        <w:sz w:val="18"/>
                        <w:szCs w:val="18"/>
                      </w:rPr>
                      <w:t>Бован</w:t>
                    </w:r>
                    <w:proofErr w:type="spellEnd"/>
                    <w:r>
                      <w:rPr>
                        <w:rStyle w:val="userlinkmenu"/>
                        <w:rFonts w:ascii="Arial" w:hAnsi="Arial" w:cs="Arial"/>
                        <w:color w:val="1C50A4"/>
                        <w:sz w:val="18"/>
                        <w:szCs w:val="18"/>
                      </w:rPr>
                      <w:t xml:space="preserve"> Степан Федорович</w:t>
                    </w:r>
                  </w:hyperlink>
                </w:p>
              </w:tc>
            </w:tr>
            <w:tr w:rsidR="00060257">
              <w:trPr>
                <w:tblCellSpacing w:w="0" w:type="dxa"/>
              </w:trPr>
              <w:tc>
                <w:tcPr>
                  <w:tcW w:w="0" w:type="auto"/>
                  <w:shd w:val="clear" w:color="auto" w:fill="F7F7F7"/>
                  <w:hideMark/>
                </w:tcPr>
                <w:p w:rsidR="00060257" w:rsidRDefault="00060257">
                  <w:pPr>
                    <w:jc w:val="right"/>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060257" w:rsidRDefault="00060257">
                  <w:pPr>
                    <w:rPr>
                      <w:rFonts w:ascii="Arial" w:hAnsi="Arial" w:cs="Arial"/>
                      <w:sz w:val="18"/>
                      <w:szCs w:val="18"/>
                    </w:rPr>
                  </w:pPr>
                  <w:hyperlink r:id="rId21" w:tgtFrame="signature" w:history="1">
                    <w:r>
                      <w:rPr>
                        <w:rFonts w:ascii="Arial" w:hAnsi="Arial" w:cs="Arial"/>
                        <w:color w:val="1C50A4"/>
                        <w:sz w:val="18"/>
                        <w:szCs w:val="18"/>
                      </w:rPr>
                      <w:t>Подписано ЭП</w:t>
                    </w:r>
                  </w:hyperlink>
                </w:p>
              </w:tc>
            </w:tr>
          </w:tbl>
          <w:p w:rsidR="00060257" w:rsidRDefault="00060257">
            <w:pPr>
              <w:rPr>
                <w:rFonts w:ascii="Arial" w:hAnsi="Arial" w:cs="Arial"/>
                <w:sz w:val="18"/>
                <w:szCs w:val="18"/>
              </w:rPr>
            </w:pPr>
          </w:p>
        </w:tc>
      </w:tr>
    </w:tbl>
    <w:p w:rsidR="00FD7CB5" w:rsidRPr="00060257" w:rsidRDefault="00060257" w:rsidP="00060257"/>
    <w:sectPr w:rsidR="00FD7CB5" w:rsidRPr="00060257" w:rsidSect="00060257">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BEE"/>
    <w:rsid w:val="00060257"/>
    <w:rsid w:val="001A505F"/>
    <w:rsid w:val="00A07BEE"/>
    <w:rsid w:val="00E0129C"/>
    <w:rsid w:val="00F01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FDE652C9-7A66-497D-8B96-BC999187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014A1"/>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14A1"/>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F014A1"/>
    <w:rPr>
      <w:strike w:val="0"/>
      <w:dstrike w:val="0"/>
      <w:color w:val="1C50A4"/>
      <w:u w:val="none"/>
      <w:effect w:val="none"/>
    </w:rPr>
  </w:style>
  <w:style w:type="character" w:styleId="a4">
    <w:name w:val="Strong"/>
    <w:basedOn w:val="a0"/>
    <w:uiPriority w:val="22"/>
    <w:qFormat/>
    <w:rsid w:val="00F014A1"/>
    <w:rPr>
      <w:b/>
      <w:bCs/>
    </w:rPr>
  </w:style>
  <w:style w:type="paragraph" w:styleId="a5">
    <w:name w:val="Normal (Web)"/>
    <w:basedOn w:val="a"/>
    <w:uiPriority w:val="99"/>
    <w:semiHidden/>
    <w:unhideWhenUsed/>
    <w:rsid w:val="00F0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g1">
    <w:name w:val="bg1"/>
    <w:basedOn w:val="a0"/>
    <w:rsid w:val="00F014A1"/>
    <w:rPr>
      <w:color w:val="A0A0A0"/>
      <w:sz w:val="18"/>
      <w:szCs w:val="18"/>
    </w:rPr>
  </w:style>
  <w:style w:type="character" w:customStyle="1" w:styleId="imp1">
    <w:name w:val="imp1"/>
    <w:basedOn w:val="a0"/>
    <w:rsid w:val="00F014A1"/>
    <w:rPr>
      <w:color w:val="FF0000"/>
    </w:rPr>
  </w:style>
  <w:style w:type="character" w:customStyle="1" w:styleId="userlinkmenu">
    <w:name w:val="userlink_menu"/>
    <w:basedOn w:val="a0"/>
    <w:rsid w:val="00F014A1"/>
  </w:style>
  <w:style w:type="paragraph" w:customStyle="1" w:styleId="imp">
    <w:name w:val="imp"/>
    <w:basedOn w:val="a"/>
    <w:rsid w:val="00060257"/>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gray-text">
    <w:name w:val="gray-text"/>
    <w:basedOn w:val="a"/>
    <w:rsid w:val="0006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6025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602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93770">
      <w:bodyDiv w:val="1"/>
      <w:marLeft w:val="0"/>
      <w:marRight w:val="0"/>
      <w:marTop w:val="0"/>
      <w:marBottom w:val="0"/>
      <w:divBdr>
        <w:top w:val="none" w:sz="0" w:space="0" w:color="auto"/>
        <w:left w:val="none" w:sz="0" w:space="0" w:color="auto"/>
        <w:bottom w:val="none" w:sz="0" w:space="0" w:color="auto"/>
        <w:right w:val="none" w:sz="0" w:space="0" w:color="auto"/>
      </w:divBdr>
      <w:divsChild>
        <w:div w:id="1898319852">
          <w:marLeft w:val="0"/>
          <w:marRight w:val="0"/>
          <w:marTop w:val="0"/>
          <w:marBottom w:val="0"/>
          <w:divBdr>
            <w:top w:val="none" w:sz="0" w:space="0" w:color="auto"/>
            <w:left w:val="none" w:sz="0" w:space="0" w:color="auto"/>
            <w:bottom w:val="none" w:sz="0" w:space="0" w:color="auto"/>
            <w:right w:val="none" w:sz="0" w:space="0" w:color="auto"/>
          </w:divBdr>
        </w:div>
        <w:div w:id="1543057940">
          <w:marLeft w:val="0"/>
          <w:marRight w:val="15"/>
          <w:marTop w:val="0"/>
          <w:marBottom w:val="30"/>
          <w:divBdr>
            <w:top w:val="none" w:sz="0" w:space="0" w:color="auto"/>
            <w:left w:val="none" w:sz="0" w:space="0" w:color="auto"/>
            <w:bottom w:val="none" w:sz="0" w:space="0" w:color="auto"/>
            <w:right w:val="none" w:sz="0" w:space="0" w:color="auto"/>
          </w:divBdr>
        </w:div>
        <w:div w:id="786893187">
          <w:marLeft w:val="0"/>
          <w:marRight w:val="15"/>
          <w:marTop w:val="0"/>
          <w:marBottom w:val="30"/>
          <w:divBdr>
            <w:top w:val="none" w:sz="0" w:space="0" w:color="auto"/>
            <w:left w:val="none" w:sz="0" w:space="0" w:color="auto"/>
            <w:bottom w:val="none" w:sz="0" w:space="0" w:color="auto"/>
            <w:right w:val="none" w:sz="0" w:space="0" w:color="auto"/>
          </w:divBdr>
        </w:div>
        <w:div w:id="1901475032">
          <w:marLeft w:val="0"/>
          <w:marRight w:val="15"/>
          <w:marTop w:val="0"/>
          <w:marBottom w:val="30"/>
          <w:divBdr>
            <w:top w:val="none" w:sz="0" w:space="0" w:color="auto"/>
            <w:left w:val="none" w:sz="0" w:space="0" w:color="auto"/>
            <w:bottom w:val="none" w:sz="0" w:space="0" w:color="auto"/>
            <w:right w:val="none" w:sz="0" w:space="0" w:color="auto"/>
          </w:divBdr>
        </w:div>
        <w:div w:id="1599757730">
          <w:marLeft w:val="0"/>
          <w:marRight w:val="15"/>
          <w:marTop w:val="0"/>
          <w:marBottom w:val="30"/>
          <w:divBdr>
            <w:top w:val="none" w:sz="0" w:space="0" w:color="auto"/>
            <w:left w:val="none" w:sz="0" w:space="0" w:color="auto"/>
            <w:bottom w:val="none" w:sz="0" w:space="0" w:color="auto"/>
            <w:right w:val="none" w:sz="0" w:space="0" w:color="auto"/>
          </w:divBdr>
        </w:div>
        <w:div w:id="1113406723">
          <w:marLeft w:val="0"/>
          <w:marRight w:val="15"/>
          <w:marTop w:val="0"/>
          <w:marBottom w:val="30"/>
          <w:divBdr>
            <w:top w:val="none" w:sz="0" w:space="0" w:color="auto"/>
            <w:left w:val="none" w:sz="0" w:space="0" w:color="auto"/>
            <w:bottom w:val="none" w:sz="0" w:space="0" w:color="auto"/>
            <w:right w:val="none" w:sz="0" w:space="0" w:color="auto"/>
          </w:divBdr>
        </w:div>
        <w:div w:id="223873451">
          <w:marLeft w:val="0"/>
          <w:marRight w:val="0"/>
          <w:marTop w:val="0"/>
          <w:marBottom w:val="0"/>
          <w:divBdr>
            <w:top w:val="none" w:sz="0" w:space="0" w:color="auto"/>
            <w:left w:val="none" w:sz="0" w:space="0" w:color="auto"/>
            <w:bottom w:val="none" w:sz="0" w:space="0" w:color="auto"/>
            <w:right w:val="none" w:sz="0" w:space="0" w:color="auto"/>
          </w:divBdr>
          <w:divsChild>
            <w:div w:id="904610888">
              <w:marLeft w:val="0"/>
              <w:marRight w:val="0"/>
              <w:marTop w:val="0"/>
              <w:marBottom w:val="0"/>
              <w:divBdr>
                <w:top w:val="none" w:sz="0" w:space="0" w:color="auto"/>
                <w:left w:val="none" w:sz="0" w:space="0" w:color="auto"/>
                <w:bottom w:val="none" w:sz="0" w:space="0" w:color="auto"/>
                <w:right w:val="none" w:sz="0" w:space="0" w:color="auto"/>
              </w:divBdr>
            </w:div>
          </w:divsChild>
        </w:div>
        <w:div w:id="1881043473">
          <w:marLeft w:val="0"/>
          <w:marRight w:val="0"/>
          <w:marTop w:val="0"/>
          <w:marBottom w:val="0"/>
          <w:divBdr>
            <w:top w:val="none" w:sz="0" w:space="0" w:color="auto"/>
            <w:left w:val="none" w:sz="0" w:space="0" w:color="auto"/>
            <w:bottom w:val="none" w:sz="0" w:space="0" w:color="auto"/>
            <w:right w:val="none" w:sz="0" w:space="0" w:color="auto"/>
          </w:divBdr>
        </w:div>
        <w:div w:id="786891853">
          <w:marLeft w:val="0"/>
          <w:marRight w:val="0"/>
          <w:marTop w:val="0"/>
          <w:marBottom w:val="0"/>
          <w:divBdr>
            <w:top w:val="none" w:sz="0" w:space="0" w:color="auto"/>
            <w:left w:val="none" w:sz="0" w:space="0" w:color="auto"/>
            <w:bottom w:val="none" w:sz="0" w:space="0" w:color="auto"/>
            <w:right w:val="none" w:sz="0" w:space="0" w:color="auto"/>
          </w:divBdr>
        </w:div>
        <w:div w:id="430711690">
          <w:marLeft w:val="0"/>
          <w:marRight w:val="0"/>
          <w:marTop w:val="0"/>
          <w:marBottom w:val="0"/>
          <w:divBdr>
            <w:top w:val="none" w:sz="0" w:space="0" w:color="auto"/>
            <w:left w:val="none" w:sz="0" w:space="0" w:color="auto"/>
            <w:bottom w:val="none" w:sz="0" w:space="0" w:color="auto"/>
            <w:right w:val="none" w:sz="0" w:space="0" w:color="auto"/>
          </w:divBdr>
        </w:div>
      </w:divsChild>
    </w:div>
    <w:div w:id="783698767">
      <w:bodyDiv w:val="1"/>
      <w:marLeft w:val="0"/>
      <w:marRight w:val="0"/>
      <w:marTop w:val="0"/>
      <w:marBottom w:val="0"/>
      <w:divBdr>
        <w:top w:val="none" w:sz="0" w:space="0" w:color="auto"/>
        <w:left w:val="none" w:sz="0" w:space="0" w:color="auto"/>
        <w:bottom w:val="none" w:sz="0" w:space="0" w:color="auto"/>
        <w:right w:val="none" w:sz="0" w:space="0" w:color="auto"/>
      </w:divBdr>
      <w:divsChild>
        <w:div w:id="269433264">
          <w:marLeft w:val="0"/>
          <w:marRight w:val="0"/>
          <w:marTop w:val="0"/>
          <w:marBottom w:val="0"/>
          <w:divBdr>
            <w:top w:val="none" w:sz="0" w:space="0" w:color="auto"/>
            <w:left w:val="none" w:sz="0" w:space="0" w:color="auto"/>
            <w:bottom w:val="none" w:sz="0" w:space="0" w:color="auto"/>
            <w:right w:val="none" w:sz="0" w:space="0" w:color="auto"/>
          </w:divBdr>
        </w:div>
        <w:div w:id="811210782">
          <w:marLeft w:val="0"/>
          <w:marRight w:val="15"/>
          <w:marTop w:val="0"/>
          <w:marBottom w:val="30"/>
          <w:divBdr>
            <w:top w:val="none" w:sz="0" w:space="0" w:color="auto"/>
            <w:left w:val="none" w:sz="0" w:space="0" w:color="auto"/>
            <w:bottom w:val="none" w:sz="0" w:space="0" w:color="auto"/>
            <w:right w:val="none" w:sz="0" w:space="0" w:color="auto"/>
          </w:divBdr>
        </w:div>
        <w:div w:id="1042634489">
          <w:marLeft w:val="0"/>
          <w:marRight w:val="15"/>
          <w:marTop w:val="0"/>
          <w:marBottom w:val="30"/>
          <w:divBdr>
            <w:top w:val="none" w:sz="0" w:space="0" w:color="auto"/>
            <w:left w:val="none" w:sz="0" w:space="0" w:color="auto"/>
            <w:bottom w:val="none" w:sz="0" w:space="0" w:color="auto"/>
            <w:right w:val="none" w:sz="0" w:space="0" w:color="auto"/>
          </w:divBdr>
        </w:div>
        <w:div w:id="936327373">
          <w:marLeft w:val="0"/>
          <w:marRight w:val="15"/>
          <w:marTop w:val="0"/>
          <w:marBottom w:val="30"/>
          <w:divBdr>
            <w:top w:val="none" w:sz="0" w:space="0" w:color="auto"/>
            <w:left w:val="none" w:sz="0" w:space="0" w:color="auto"/>
            <w:bottom w:val="none" w:sz="0" w:space="0" w:color="auto"/>
            <w:right w:val="none" w:sz="0" w:space="0" w:color="auto"/>
          </w:divBdr>
        </w:div>
        <w:div w:id="755595535">
          <w:marLeft w:val="0"/>
          <w:marRight w:val="15"/>
          <w:marTop w:val="0"/>
          <w:marBottom w:val="30"/>
          <w:divBdr>
            <w:top w:val="none" w:sz="0" w:space="0" w:color="auto"/>
            <w:left w:val="none" w:sz="0" w:space="0" w:color="auto"/>
            <w:bottom w:val="none" w:sz="0" w:space="0" w:color="auto"/>
            <w:right w:val="none" w:sz="0" w:space="0" w:color="auto"/>
          </w:divBdr>
        </w:div>
        <w:div w:id="1372265394">
          <w:marLeft w:val="0"/>
          <w:marRight w:val="15"/>
          <w:marTop w:val="0"/>
          <w:marBottom w:val="30"/>
          <w:divBdr>
            <w:top w:val="none" w:sz="0" w:space="0" w:color="auto"/>
            <w:left w:val="none" w:sz="0" w:space="0" w:color="auto"/>
            <w:bottom w:val="none" w:sz="0" w:space="0" w:color="auto"/>
            <w:right w:val="none" w:sz="0" w:space="0" w:color="auto"/>
          </w:divBdr>
        </w:div>
        <w:div w:id="1233193884">
          <w:marLeft w:val="0"/>
          <w:marRight w:val="0"/>
          <w:marTop w:val="0"/>
          <w:marBottom w:val="0"/>
          <w:divBdr>
            <w:top w:val="none" w:sz="0" w:space="0" w:color="auto"/>
            <w:left w:val="none" w:sz="0" w:space="0" w:color="auto"/>
            <w:bottom w:val="none" w:sz="0" w:space="0" w:color="auto"/>
            <w:right w:val="none" w:sz="0" w:space="0" w:color="auto"/>
          </w:divBdr>
          <w:divsChild>
            <w:div w:id="1829439440">
              <w:marLeft w:val="0"/>
              <w:marRight w:val="0"/>
              <w:marTop w:val="0"/>
              <w:marBottom w:val="0"/>
              <w:divBdr>
                <w:top w:val="none" w:sz="0" w:space="0" w:color="auto"/>
                <w:left w:val="none" w:sz="0" w:space="0" w:color="auto"/>
                <w:bottom w:val="none" w:sz="0" w:space="0" w:color="auto"/>
                <w:right w:val="none" w:sz="0" w:space="0" w:color="auto"/>
              </w:divBdr>
            </w:div>
          </w:divsChild>
        </w:div>
        <w:div w:id="1581478193">
          <w:marLeft w:val="0"/>
          <w:marRight w:val="0"/>
          <w:marTop w:val="0"/>
          <w:marBottom w:val="0"/>
          <w:divBdr>
            <w:top w:val="none" w:sz="0" w:space="0" w:color="auto"/>
            <w:left w:val="none" w:sz="0" w:space="0" w:color="auto"/>
            <w:bottom w:val="none" w:sz="0" w:space="0" w:color="auto"/>
            <w:right w:val="none" w:sz="0" w:space="0" w:color="auto"/>
          </w:divBdr>
        </w:div>
        <w:div w:id="489176556">
          <w:marLeft w:val="0"/>
          <w:marRight w:val="0"/>
          <w:marTop w:val="0"/>
          <w:marBottom w:val="0"/>
          <w:divBdr>
            <w:top w:val="none" w:sz="0" w:space="0" w:color="auto"/>
            <w:left w:val="none" w:sz="0" w:space="0" w:color="auto"/>
            <w:bottom w:val="none" w:sz="0" w:space="0" w:color="auto"/>
            <w:right w:val="none" w:sz="0" w:space="0" w:color="auto"/>
          </w:divBdr>
        </w:div>
        <w:div w:id="54506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5562&amp;show=statistics" TargetMode="External"/><Relationship Id="rId13" Type="http://schemas.openxmlformats.org/officeDocument/2006/relationships/hyperlink" Target="http://www.b2b-mrsk.ru/popups/send_message.html?action=send&amp;to=53793&amp;subject=%D0%92%D0%BE%D0%BF%D1%80%D0%BE%D1%81+%D0%BF%D0%BE+%D0%BA%D0%BE%D0%BD%D0%BA%D1%83%D1%80%D1%81%D1%83+%E2%84%96+45562"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hyperlink" Target="http://www.b2b-mrsk.ru/market/view_tender.html?id=45562&amp;action=signed_doc&amp;key=tender" TargetMode="External"/><Relationship Id="rId7" Type="http://schemas.openxmlformats.org/officeDocument/2006/relationships/hyperlink" Target="http://www.b2b-mrsk.ru/market/edit_tender.html?id=45562&amp;action=send_letters" TargetMode="External"/><Relationship Id="rId12" Type="http://schemas.openxmlformats.org/officeDocument/2006/relationships/control" Target="activeX/activeX1.xml"/><Relationship Id="rId17" Type="http://schemas.openxmlformats.org/officeDocument/2006/relationships/hyperlink" Target="http://www.b2b-mrsk.ru/market/view_tender.html?id=45562&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45562&amp;action=docs" TargetMode="External"/><Relationship Id="rId20" Type="http://schemas.openxmlformats.org/officeDocument/2006/relationships/hyperlink" Target="http://www.b2b-mrsk.ru/popups/send_message.html?action=send&amp;to=53793" TargetMode="External"/><Relationship Id="rId1" Type="http://schemas.openxmlformats.org/officeDocument/2006/relationships/styles" Target="styles.xml"/><Relationship Id="rId6" Type="http://schemas.openxmlformats.org/officeDocument/2006/relationships/hyperlink" Target="http://www.b2b-mrsk.ru/market/view_tender.html?id=45562&amp;action=invitations" TargetMode="External"/><Relationship Id="rId11" Type="http://schemas.openxmlformats.org/officeDocument/2006/relationships/image" Target="media/image1.wmf"/><Relationship Id="rId5" Type="http://schemas.openxmlformats.org/officeDocument/2006/relationships/hyperlink" Target="http://www.b2b-mrsk.ru/market/view_tender.html?id=45562&amp;action=explanation" TargetMode="External"/><Relationship Id="rId15" Type="http://schemas.openxmlformats.org/officeDocument/2006/relationships/hyperlink" Target="http://www.b2b-mrsk.ru/download.html?file=file%2F23137151.zip&amp;title=%D0%97%D0%94_2015.0756.zip" TargetMode="External"/><Relationship Id="rId23" Type="http://schemas.openxmlformats.org/officeDocument/2006/relationships/theme" Target="theme/theme1.xml"/><Relationship Id="rId10" Type="http://schemas.openxmlformats.org/officeDocument/2006/relationships/hyperlink" Target="http://www.b2b-mrsk.ru/market/list_tenders.html?open=1&amp;all=0&amp;cat_id=42320210" TargetMode="External"/><Relationship Id="rId19" Type="http://schemas.openxmlformats.org/officeDocument/2006/relationships/hyperlink" Target="http://www.b2b-mrsk.ru/market/view_tender.html?id=45562&amp;zgr=get_xml" TargetMode="External"/><Relationship Id="rId4" Type="http://schemas.openxmlformats.org/officeDocument/2006/relationships/hyperlink" Target="http://www.b2b-mrsk.ru/market/view_tender.html?id=45562&amp;show=lots" TargetMode="External"/><Relationship Id="rId9" Type="http://schemas.openxmlformats.org/officeDocument/2006/relationships/hyperlink" Target="http://www.b2b-mrsk.ru/market/list_tenders.html?open=1&amp;all=0&amp;cat_id=42320212" TargetMode="External"/><Relationship Id="rId14" Type="http://schemas.openxmlformats.org/officeDocument/2006/relationships/hyperlink" Target="mailto:DArtamonov@nes.te.ru" TargetMode="External"/><Relationship Id="rId22"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orage"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1884</Words>
  <Characters>10744</Characters>
  <Application>Microsoft Office Word</Application>
  <DocSecurity>0</DocSecurity>
  <Lines>89</Lines>
  <Paragraphs>25</Paragraphs>
  <ScaleCrop>false</ScaleCrop>
  <Company/>
  <LinksUpToDate>false</LinksUpToDate>
  <CharactersWithSpaces>12603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3</cp:revision>
  <cp:lastPrinted>2015-09-22T05:20:00Z</cp:lastPrinted>
  <dcterms:created xsi:type="dcterms:W3CDTF">2015-09-22T04:22:00Z</dcterms:created>
  <dcterms:modified xsi:type="dcterms:W3CDTF">2015-09-22T05:20:00Z</dcterms:modified>
</cp:coreProperties>
</file>