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530" w:rsidRDefault="00391530" w:rsidP="00391530">
      <w:pPr>
        <w:pStyle w:val="1"/>
        <w:spacing w:after="0" w:afterAutospacing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91530">
        <w:rPr>
          <w:rFonts w:ascii="Times New Roman" w:hAnsi="Times New Roman" w:cs="Times New Roman"/>
          <w:b/>
          <w:sz w:val="32"/>
          <w:szCs w:val="32"/>
        </w:rPr>
        <w:t>Конкурс № 773577</w:t>
      </w:r>
    </w:p>
    <w:p w:rsidR="00391530" w:rsidRPr="00391530" w:rsidRDefault="00391530" w:rsidP="00391530">
      <w:pPr>
        <w:pStyle w:val="1"/>
        <w:spacing w:after="0" w:afterAutospacing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91530">
        <w:rPr>
          <w:rStyle w:val="x-small3"/>
          <w:rFonts w:ascii="Times New Roman" w:hAnsi="Times New Roman" w:cs="Times New Roman"/>
          <w:b/>
          <w:sz w:val="32"/>
          <w:szCs w:val="32"/>
        </w:rPr>
        <w:t>Открытый одноэтапный конкурс без предварительного отбора на право заключения договора на выполнение работ по модернизации устройств РЗА с применением микропроцессорного оборудования филиала АО "Тюменьэнерго" Ноябрьские электрические сети</w:t>
      </w:r>
    </w:p>
    <w:p w:rsidR="00391530" w:rsidRDefault="00391530" w:rsidP="00391530">
      <w:pPr>
        <w:numPr>
          <w:ilvl w:val="0"/>
          <w:numId w:val="4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Извещение</w:t>
      </w:r>
    </w:p>
    <w:p w:rsidR="00391530" w:rsidRPr="00391530" w:rsidRDefault="00391530" w:rsidP="00391530">
      <w:pPr>
        <w:numPr>
          <w:ilvl w:val="0"/>
          <w:numId w:val="4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Arial" w:hAnsi="Arial" w:cs="Arial"/>
          <w:color w:val="000000"/>
          <w:sz w:val="21"/>
          <w:szCs w:val="21"/>
        </w:rPr>
      </w:pPr>
      <w:hyperlink r:id="rId5" w:history="1">
        <w:r>
          <w:rPr>
            <w:rStyle w:val="a7"/>
            <w:sz w:val="21"/>
            <w:szCs w:val="21"/>
          </w:rPr>
          <w:t>Все лоты - 1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391530" w:rsidTr="0039153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39153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1530" w:rsidRDefault="00391530" w:rsidP="00391530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Открытый одноэтапный конкурс без предварительного отбора на право заключения договора на выполнение работ по модернизации устройств РЗА с применением микропроцессорного оборудования филиала АО "Тюменьэнерго" Ноябрьские электрические сети</w:t>
                  </w:r>
                  <w:r>
                    <w:rPr>
                      <w:rStyle w:val="ellipsis2"/>
                      <w:rFonts w:ascii="Arial" w:hAnsi="Arial" w:cs="Arial"/>
                      <w:color w:val="333333"/>
                      <w:sz w:val="21"/>
                      <w:szCs w:val="21"/>
                    </w:rPr>
                    <w:t>...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more"/>
                      <w:rFonts w:ascii="Arial" w:hAnsi="Arial" w:cs="Arial"/>
                      <w:color w:val="333333"/>
                      <w:sz w:val="21"/>
                      <w:szCs w:val="21"/>
                    </w:rPr>
                    <w:t>Развернуть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  <w:p w:rsidR="00391530" w:rsidRDefault="00391530" w:rsidP="00391530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Открытый одноэтапный конкурс без предварительного отбора на право заключения договора на выполнение работ по модернизации устройств РЗА с применением микропроцессорного оборудования филиала АО "Тюменьэнерго" Ноябрьские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Выполнение работ по модернизации устройств РЗА с применением микропроцессорного оборудования филиала АО "Тюменьэнерго" Ноябрьские электрические сети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less"/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>Свернуть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39153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8"/>
                    <w:gridCol w:w="5937"/>
                  </w:tblGrid>
                  <w:tr w:rsidR="003915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17 526 798,17 руб.</w:t>
                        </w:r>
                      </w:p>
                    </w:tc>
                  </w:tr>
                  <w:tr w:rsidR="003915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01.02.2017 07:14</w:t>
                        </w:r>
                      </w:p>
                    </w:tc>
                  </w:tr>
                  <w:tr w:rsidR="003915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21.02.2017 08:00</w:t>
                        </w:r>
                      </w:p>
                    </w:tc>
                  </w:tr>
                  <w:tr w:rsidR="003915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3915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17.04.2017 - 30.11.2017</w:t>
                        </w:r>
                      </w:p>
                    </w:tc>
                  </w:tr>
                  <w:tr w:rsidR="003915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01.02.2017 07:14, </w:t>
                        </w:r>
                        <w:hyperlink r:id="rId6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3915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7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Родионова Мария Николаевна</w:t>
                          </w:r>
                        </w:hyperlink>
                      </w:p>
                    </w:tc>
                  </w:tr>
                  <w:tr w:rsidR="003915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8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Филиал АО "Тюменьэнерго" НЭС (г. Ноябрьск)</w:t>
                          </w:r>
                        </w:hyperlink>
                      </w:p>
                    </w:tc>
                  </w:tr>
                </w:tbl>
                <w:p w:rsidR="00391530" w:rsidRDefault="00391530" w:rsidP="00391530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39153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1530" w:rsidRDefault="00391530" w:rsidP="00391530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Дополнительная информация</w:t>
                  </w:r>
                </w:p>
              </w:tc>
            </w:tr>
            <w:tr w:rsidR="0039153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8"/>
                    <w:gridCol w:w="5937"/>
                  </w:tblGrid>
                  <w:tr w:rsidR="003915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3915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3915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-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sym w:font="Symbol" w:char="F02D"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sym w:font="Symbol" w:char="F02D"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Обеспечение заявки на участие в закупке в размере 2% начальной цены лота. 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sym w:font="Symbol" w:char="F02D"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Требование о возможности авансирования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Размер аванса на СМР - не более 15% от стоимости строительно-монтажных, пуско-наладочных работ.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Размер аванса на поставку оборудования - не более 30% от стоимости данного оборудования.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 необходимости авансирования Участник должен указать в форме коммерческого предложения в составе заявки на участие в закупке.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sym w:font="Symbol" w:char="F02D"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Требование к обеспечению исполнения договора: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Форма обеспечения: Обеспечение предоставляется Участником закупки по его выбору путем внесения денежных средств (обеспечительный платеж) на счет, указанный в документации о закупке либо путем предоставления безотзывной безусловной банковской гарантии. Требования к банковской гарантии установлены в документации о закупке и/или проекте договора.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Обеспечение исполнения договора должно быть предоставлено Заказчику до даты заключения договора.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Размер обеспечения: Обеспечение исполнения договора (в том числе обязательств на возврат авансовых платежей) устанавливается в размере аванса (указывается числовое значение, равное размеру аванса).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В случае, если Участник отказывается от авансирования (что должно быть указано Участником в форме коммерческого предложения в составе Заявки), то обеспечение исполнения договора предоставляется таким Участником закупки по его выбору путем внесения денежных средств (обеспечительный платеж) на счет, указанный в документации о закупке, либо путем предоставления безотзывной безусловной банковской гарантии в размере: 2% начальной цены лота.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sym w:font="Symbol" w:char="F02D"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* 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Интернет.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 случае выявления Конкурсной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Конкурсная комиссия выносит решение о возможности применения на объектах Общества неаттестованного оборудования.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sym w:font="Symbol" w:char="F02D"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sym w:font="Symbol" w:char="F02D"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 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sym w:font="Symbol" w:char="F02D"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Работы/услуги/поставки, выполняемые субподрядчиками/ соисполнителями/ субпоставщиками не должны превышать 50% от общего объема работ.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sym w:font="Symbol" w:char="F02D"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sym w:font="Symbol" w:char="F02D"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Участник/ член коллективного Участника, субподрядчик (соисполнитель/субпоставщик) должен обладать необходимыми кадровыми ресурсами: согласно приложению № 1 к техническому заданию (приложение № 1 к Конкурсной документации).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sym w:font="Symbol" w:char="F02D"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приложению № 1 к техническому заданию (приложение № 1 к Конкурсной документации).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sym w:font="Symbol" w:char="F02D"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СЧА= стр.1600-стр.1400-стр.1500,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при этом в расчет принимается стоимость фактически ликвидных активов (активы имеющие рыночную стоимость не ниже балансовой)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.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Показатель финансовой устойчивости коэффициент соизмеримости (КСВ) должен иметь значение ≥ 0,5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KCB= (V/B)/(S/P),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Р – период выполнения обязательств по договору (в месяцах),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S – сумма договора (без НДС)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sym w:font="Symbol" w:char="F02D"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Техническое и коммерческое предложения должны соответствовать требованиям Заказчика.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sym w:font="Symbol" w:char="F02D"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sym w:font="Symbol" w:char="F02D"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в) деятельность Участника должна быть безубыточной за последний завершенный год;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е) на имущество Участника не должен быть наложен арест;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</w:t>
                        </w:r>
                        <w:hyperlink r:id="rId9" w:history="1">
                          <w:r w:rsidRPr="00996089">
                            <w:rPr>
                              <w:rStyle w:val="a7"/>
                              <w:rFonts w:ascii="Arial" w:hAnsi="Arial" w:cs="Arial"/>
                              <w:sz w:val="21"/>
                              <w:szCs w:val="21"/>
                            </w:rPr>
                            <w:t>http://zakupki.gov.ru/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;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- едином федеральном реестре о банкротствах https://bankrot.fedresurs.ru/;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- реестре о возбужденных исполнительных производствах на электронном портале </w:t>
                        </w:r>
                        <w:hyperlink r:id="rId10" w:history="1">
                          <w:r w:rsidRPr="00996089">
                            <w:rPr>
                              <w:rStyle w:val="a7"/>
                              <w:rFonts w:ascii="Arial" w:hAnsi="Arial" w:cs="Arial"/>
                              <w:sz w:val="21"/>
                              <w:szCs w:val="21"/>
                            </w:rPr>
                            <w:t>http://fssprus.ru/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;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и) Участник не должен быть аффилирован к другим Участникам закупки;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к) отсутствие у АО "Тюменьэнерго"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л) отсутствие сведений об исключении Участника из ЕГРЮЛ/ЕГРИП;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п)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3915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3915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1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КД_0096.zip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 (57.4 МБ)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2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3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915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Обеспечение обязательств по договору: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 соответствии с Конкурсной документацией.</w:t>
                        </w:r>
                      </w:p>
                    </w:tc>
                  </w:tr>
                  <w:tr w:rsidR="003915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3915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ранжировке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3915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телекомуникационной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сети "Интернет"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3915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629804, Россия,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г.Ноябрьск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, Тюменская обл., ЯНАО,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ул.Холмогорская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, 25, АБК НЭС</w:t>
                        </w:r>
                      </w:p>
                    </w:tc>
                  </w:tr>
                  <w:tr w:rsidR="003915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14.03.2017 15:00</w:t>
                        </w:r>
                      </w:p>
                    </w:tc>
                  </w:tr>
                  <w:tr w:rsidR="003915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23.03.2017 15:00</w:t>
                        </w:r>
                      </w:p>
                    </w:tc>
                  </w:tr>
                  <w:tr w:rsidR="003915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629804, Россия,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г.Ноябрьск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, Тюменская обл., ЯНАО,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ул.Холмогорская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, 25, АБК НЭС</w:t>
                        </w:r>
                      </w:p>
                    </w:tc>
                  </w:tr>
                  <w:tr w:rsidR="003915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915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915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электронно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</w:p>
                      <w:p w:rsidR="00391530" w:rsidRDefault="00391530" w:rsidP="0039153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915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1530" w:rsidRDefault="00391530" w:rsidP="0039153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4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91530" w:rsidRDefault="00391530" w:rsidP="00391530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391530" w:rsidRDefault="00391530" w:rsidP="00391530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FD7CB5" w:rsidRPr="00391530" w:rsidRDefault="00391530" w:rsidP="00391530">
      <w:pPr>
        <w:spacing w:after="0" w:line="240" w:lineRule="auto"/>
      </w:pPr>
    </w:p>
    <w:sectPr w:rsidR="00FD7CB5" w:rsidRPr="00391530" w:rsidSect="002A4E04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D21C7"/>
    <w:multiLevelType w:val="multilevel"/>
    <w:tmpl w:val="17AE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E67774"/>
    <w:multiLevelType w:val="multilevel"/>
    <w:tmpl w:val="BA6C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D8153D"/>
    <w:multiLevelType w:val="multilevel"/>
    <w:tmpl w:val="DEA0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D053F1"/>
    <w:multiLevelType w:val="multilevel"/>
    <w:tmpl w:val="24B2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F8"/>
    <w:rsid w:val="001A505F"/>
    <w:rsid w:val="00256B1C"/>
    <w:rsid w:val="002A4E04"/>
    <w:rsid w:val="00391530"/>
    <w:rsid w:val="003B2555"/>
    <w:rsid w:val="004C062F"/>
    <w:rsid w:val="005C51D9"/>
    <w:rsid w:val="00CE26F8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F169"/>
  <w15:chartTrackingRefBased/>
  <w15:docId w15:val="{F2208072-D0DA-48AB-B846-5ECD2E46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062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62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C062F"/>
    <w:rPr>
      <w:b/>
      <w:bCs/>
    </w:rPr>
  </w:style>
  <w:style w:type="paragraph" w:styleId="a4">
    <w:name w:val="Normal (Web)"/>
    <w:basedOn w:val="a"/>
    <w:uiPriority w:val="99"/>
    <w:semiHidden/>
    <w:unhideWhenUsed/>
    <w:rsid w:val="004C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C062F"/>
    <w:rPr>
      <w:color w:val="FF0000"/>
    </w:rPr>
  </w:style>
  <w:style w:type="character" w:customStyle="1" w:styleId="value">
    <w:name w:val="value"/>
    <w:basedOn w:val="a0"/>
    <w:rsid w:val="004C062F"/>
  </w:style>
  <w:style w:type="character" w:customStyle="1" w:styleId="ellipsis">
    <w:name w:val="ellipsis"/>
    <w:basedOn w:val="a0"/>
    <w:rsid w:val="004C062F"/>
  </w:style>
  <w:style w:type="character" w:customStyle="1" w:styleId="a-more">
    <w:name w:val="a-more"/>
    <w:basedOn w:val="a0"/>
    <w:rsid w:val="004C062F"/>
  </w:style>
  <w:style w:type="character" w:customStyle="1" w:styleId="a-less">
    <w:name w:val="a-less"/>
    <w:basedOn w:val="a0"/>
    <w:rsid w:val="004C062F"/>
  </w:style>
  <w:style w:type="character" w:customStyle="1" w:styleId="userlinkmenu">
    <w:name w:val="userlink_menu"/>
    <w:basedOn w:val="a0"/>
    <w:rsid w:val="004C062F"/>
  </w:style>
  <w:style w:type="character" w:customStyle="1" w:styleId="floathint-marker">
    <w:name w:val="floathint-marker"/>
    <w:basedOn w:val="a0"/>
    <w:rsid w:val="004C062F"/>
  </w:style>
  <w:style w:type="paragraph" w:styleId="a5">
    <w:name w:val="Balloon Text"/>
    <w:basedOn w:val="a"/>
    <w:link w:val="a6"/>
    <w:uiPriority w:val="99"/>
    <w:semiHidden/>
    <w:unhideWhenUsed/>
    <w:rsid w:val="004C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062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C51D9"/>
    <w:rPr>
      <w:strike w:val="0"/>
      <w:dstrike w:val="0"/>
      <w:color w:val="2283C3"/>
      <w:u w:val="none"/>
      <w:effect w:val="none"/>
    </w:rPr>
  </w:style>
  <w:style w:type="character" w:customStyle="1" w:styleId="x-small1">
    <w:name w:val="x-small1"/>
    <w:basedOn w:val="a0"/>
    <w:rsid w:val="005C51D9"/>
    <w:rPr>
      <w:sz w:val="18"/>
      <w:szCs w:val="18"/>
    </w:rPr>
  </w:style>
  <w:style w:type="character" w:customStyle="1" w:styleId="btn-txt7">
    <w:name w:val="btn-txt7"/>
    <w:basedOn w:val="a0"/>
    <w:rsid w:val="005C51D9"/>
  </w:style>
  <w:style w:type="character" w:customStyle="1" w:styleId="imp2">
    <w:name w:val="imp2"/>
    <w:basedOn w:val="a0"/>
    <w:rsid w:val="005C51D9"/>
    <w:rPr>
      <w:color w:val="E4002B"/>
    </w:rPr>
  </w:style>
  <w:style w:type="character" w:customStyle="1" w:styleId="ellipsis2">
    <w:name w:val="ellipsis2"/>
    <w:basedOn w:val="a0"/>
    <w:rsid w:val="005C51D9"/>
  </w:style>
  <w:style w:type="character" w:customStyle="1" w:styleId="floathint-marker1">
    <w:name w:val="floathint-marker1"/>
    <w:basedOn w:val="a0"/>
    <w:rsid w:val="005C51D9"/>
    <w:rPr>
      <w:vanish w:val="0"/>
      <w:webHidden w:val="0"/>
      <w:specVanish w:val="0"/>
    </w:rPr>
  </w:style>
  <w:style w:type="paragraph" w:customStyle="1" w:styleId="imp">
    <w:name w:val="imp"/>
    <w:basedOn w:val="a"/>
    <w:rsid w:val="00391530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3915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105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0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9622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2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71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1765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4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9516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9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46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318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9341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50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14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299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7593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87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8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7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25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es-g-noiabrsk/44824/" TargetMode="External"/><Relationship Id="rId13" Type="http://schemas.openxmlformats.org/officeDocument/2006/relationships/hyperlink" Target="http://www.b2b-mrsk.ru/market/view.html?id=773577&amp;action=signed_doc&amp;key=auction_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312178" TargetMode="External"/><Relationship Id="rId12" Type="http://schemas.openxmlformats.org/officeDocument/2006/relationships/hyperlink" Target="http://www.b2b-mrsk.ru/market/edit.html?id=773577&amp;action=doc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53793" TargetMode="External"/><Relationship Id="rId11" Type="http://schemas.openxmlformats.org/officeDocument/2006/relationships/hyperlink" Target="http://www.b2b-mrsk.ru/download.html?file=file%2F139872633.zip&amp;title=%D0%9A%D0%94_0096.zip" TargetMode="External"/><Relationship Id="rId5" Type="http://schemas.openxmlformats.org/officeDocument/2006/relationships/hyperlink" Target="http://www.b2b-mrsk.ru/market/view.html?id=773577&amp;action=lot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fsspru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upki.gov.ru/" TargetMode="External"/><Relationship Id="rId14" Type="http://schemas.openxmlformats.org/officeDocument/2006/relationships/hyperlink" Target="http://www.b2b-mrsk.ru/market/view.html?id=773577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3133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Родионова Мария Николаевна</cp:lastModifiedBy>
  <cp:revision>6</cp:revision>
  <cp:lastPrinted>2016-09-19T11:01:00Z</cp:lastPrinted>
  <dcterms:created xsi:type="dcterms:W3CDTF">2015-10-12T12:22:00Z</dcterms:created>
  <dcterms:modified xsi:type="dcterms:W3CDTF">2017-02-01T04:55:00Z</dcterms:modified>
</cp:coreProperties>
</file>