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E8" w:rsidRPr="00162CE8" w:rsidRDefault="00162CE8" w:rsidP="00162CE8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62CE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и выбору победителя запроса предложений (объявления о покупке) № 391504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162CE8" w:rsidRPr="00162CE8">
        <w:trPr>
          <w:tblCellSpacing w:w="15" w:type="dxa"/>
        </w:trPr>
        <w:tc>
          <w:tcPr>
            <w:tcW w:w="2500" w:type="pct"/>
            <w:hideMark/>
          </w:tcPr>
          <w:p w:rsidR="00162CE8" w:rsidRPr="00162CE8" w:rsidRDefault="00162CE8" w:rsidP="00162CE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162CE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391504/0378-4</w:t>
            </w:r>
          </w:p>
        </w:tc>
        <w:tc>
          <w:tcPr>
            <w:tcW w:w="2500" w:type="pct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162CE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08.09.2014</w:t>
            </w:r>
          </w:p>
        </w:tc>
      </w:tr>
    </w:tbl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предложений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предложений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предложений: 11.07.2014 14:32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предложений: 28.08.2014 07:00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предложений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Название товара (услуги): 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ПС-110/10/10 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Ханупа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«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Краткое описание лота: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Выполнение работ по реконструкции ограждения ПС-110/10/10 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Ханупа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«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Услуга: Реконструкция сооружений 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proofErr w:type="gram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2 796 928,50 руб. (цена с НДС)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2 796 928,50 руб. (цена с НДС)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Условия оплаты: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>В соответствии с проектом договора Приложение № 2 к Закупочной документации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Условия поставки: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Указаны в Техническом задании Приложение № 1 к Закупочной документации</w:t>
      </w:r>
      <w:proofErr w:type="gramEnd"/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162CE8" w:rsidRPr="00162CE8" w:rsidRDefault="00162CE8" w:rsidP="00162C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ЭнергоАльянс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" (Мельников О.Г.) предложение: </w:t>
      </w:r>
      <w:r w:rsidRPr="00162C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2 739 992,76 руб. (цена с НДС)</w:t>
      </w:r>
    </w:p>
    <w:p w:rsidR="00162CE8" w:rsidRPr="00162CE8" w:rsidRDefault="00162CE8" w:rsidP="00162C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Металлосервисный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центр" (Акимова И.М.) предложение: </w:t>
      </w:r>
      <w:r w:rsidRPr="00162C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2 780 524,30 руб. (цена с НДС)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повышении предпочтительности поданных предложений (переторжка)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Дата объявления переторжки 05.09.2014 14:19 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Проведение переторжки назначено на 08.09.2014 09:00 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Переторжка проведена 08.09.2014 09:00 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Возможность переторжки предоставлена по следующим предложениям участников:</w:t>
      </w:r>
    </w:p>
    <w:p w:rsidR="00162CE8" w:rsidRPr="00162CE8" w:rsidRDefault="00162CE8" w:rsidP="00162CE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Предложение от ООО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ЭнергоАльянс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" (Мельников О.Г.). Участник воспользовался переторжкой. Цена: </w:t>
      </w:r>
      <w:r w:rsidRPr="00162C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2 711 367,87 руб. (цена с НДС)</w:t>
      </w:r>
    </w:p>
    <w:p w:rsidR="00162CE8" w:rsidRPr="00162CE8" w:rsidRDefault="00162CE8" w:rsidP="00162CE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Предложение от ООО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Металлосервисный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центр" (Акимова И.М.). Участник не воспользовался переторжкой.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Закупочной комиссии: 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Филиппов Александр Васильевич, Заместитель директора по техническим вопросам - главный инженер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162CE8" w:rsidRPr="00162CE8" w:rsidRDefault="00162CE8" w:rsidP="00162CE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162CE8" w:rsidRPr="00162CE8" w:rsidRDefault="00162CE8" w:rsidP="00162CE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162CE8" w:rsidRPr="00162CE8" w:rsidRDefault="00162CE8" w:rsidP="00162CE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162CE8" w:rsidRPr="00162CE8" w:rsidRDefault="00162CE8" w:rsidP="00162CE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162CE8" w:rsidRPr="00162CE8" w:rsidRDefault="00162CE8" w:rsidP="00162CE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Семенова Надежда Николаевна, Заместитель директора по экономике и финансам</w:t>
      </w:r>
    </w:p>
    <w:p w:rsidR="00162CE8" w:rsidRPr="00162CE8" w:rsidRDefault="00162CE8" w:rsidP="00162CE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162CE8" w:rsidRDefault="00162CE8" w:rsidP="00162CE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предложений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162CE8" w:rsidRDefault="00162CE8" w:rsidP="00162CE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Об определении победителя запроса предложений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Предлагается принять предложение участника: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ЭнергоАльянс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" (629805, Тюменская обл., ЯНАО, г. Ноябрьск, ул. Магистральная, д. 61, кв. 31)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Предложение: </w:t>
      </w:r>
      <w:r w:rsidRPr="00162C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2 711 367,87 руб. </w:t>
      </w:r>
      <w:proofErr w:type="gramEnd"/>
      <w:r w:rsidRPr="00162C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(цена с НДС)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Основание: Участник обладает необходимыми кадровыми и материально-техническими ресурсами, но не обладает достаточным опытом выполнения аналогичных работ, однако участником </w:t>
      </w:r>
      <w:r w:rsidR="00960DDB" w:rsidRPr="00162CE8">
        <w:rPr>
          <w:rFonts w:ascii="Arial" w:eastAsia="Times New Roman" w:hAnsi="Arial" w:cs="Arial"/>
          <w:sz w:val="18"/>
          <w:szCs w:val="18"/>
          <w:lang w:eastAsia="ru-RU"/>
        </w:rPr>
        <w:t>предложена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наименьшая стоимость выполнения работ.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предложений.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>2. Признать победителем запроса предложений (объявления о покупке):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</w:t>
      </w:r>
      <w:proofErr w:type="spellStart"/>
      <w:r w:rsidRPr="00162CE8">
        <w:rPr>
          <w:rFonts w:ascii="Arial" w:eastAsia="Times New Roman" w:hAnsi="Arial" w:cs="Arial"/>
          <w:sz w:val="18"/>
          <w:szCs w:val="18"/>
          <w:lang w:eastAsia="ru-RU"/>
        </w:rPr>
        <w:t>ЭнергоАльянс</w:t>
      </w:r>
      <w:proofErr w:type="spellEnd"/>
      <w:r w:rsidRPr="00162CE8">
        <w:rPr>
          <w:rFonts w:ascii="Arial" w:eastAsia="Times New Roman" w:hAnsi="Arial" w:cs="Arial"/>
          <w:sz w:val="18"/>
          <w:szCs w:val="18"/>
          <w:lang w:eastAsia="ru-RU"/>
        </w:rPr>
        <w:t>" (629805, Тюменская обл., ЯНАО, г. Ноябрьск, ул. Магистральная, д. 61, кв. 31)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Предложение: </w:t>
      </w:r>
      <w:r w:rsidRPr="00162C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2 711 367,87 руб. (цена с НДС)</w:t>
      </w:r>
      <w:proofErr w:type="gramEnd"/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«За» </w:t>
      </w:r>
      <w:r w:rsidRPr="00162CE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8  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«Против» </w:t>
      </w:r>
      <w:r w:rsidRPr="00162CE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«Воздержалось» </w:t>
      </w:r>
      <w:r w:rsidRPr="00162CE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162CE8" w:rsidRPr="00162CE8" w:rsidRDefault="00162CE8" w:rsidP="00162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«Отсутствовало» </w:t>
      </w:r>
      <w:r w:rsidRPr="00162CE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2  </w:t>
      </w:r>
      <w:r w:rsidRPr="00162CE8">
        <w:rPr>
          <w:rFonts w:ascii="Arial" w:eastAsia="Times New Roman" w:hAnsi="Arial" w:cs="Arial"/>
          <w:sz w:val="18"/>
          <w:szCs w:val="18"/>
          <w:lang w:eastAsia="ru-RU"/>
        </w:rPr>
        <w:t xml:space="preserve"> члена комиссии.</w:t>
      </w:r>
    </w:p>
    <w:p w:rsid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162CE8" w:rsidRPr="00162CE8" w:rsidRDefault="00162CE8" w:rsidP="00162C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62C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Закупочной комиссии: </w:t>
            </w:r>
            <w:proofErr w:type="spellStart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Филиппов Александр Васильевич, Заместитель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Default="00162CE8" w:rsidP="00162CE8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Марков Иван Валентинович, Инженер 1 категории ОРЗ ОАО "</w:t>
            </w:r>
            <w:proofErr w:type="spellStart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Семенова Надежда Николаевна, Заместитель директора по экономике и финансам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162CE8" w:rsidRPr="00162CE8">
        <w:trPr>
          <w:tblCellSpacing w:w="15" w:type="dxa"/>
        </w:trPr>
        <w:tc>
          <w:tcPr>
            <w:tcW w:w="0" w:type="auto"/>
            <w:hideMark/>
          </w:tcPr>
          <w:p w:rsidR="00162CE8" w:rsidRPr="00162CE8" w:rsidRDefault="00162CE8" w:rsidP="00162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162CE8" w:rsidRPr="00162CE8" w:rsidRDefault="00162CE8" w:rsidP="00162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2C4FED" w:rsidRDefault="002C4FED" w:rsidP="00162CE8">
      <w:pPr>
        <w:spacing w:after="0" w:line="240" w:lineRule="auto"/>
      </w:pPr>
    </w:p>
    <w:sectPr w:rsidR="002C4FED" w:rsidSect="00162CE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701A"/>
    <w:multiLevelType w:val="multilevel"/>
    <w:tmpl w:val="B6D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5A21A4"/>
    <w:multiLevelType w:val="multilevel"/>
    <w:tmpl w:val="A1B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997744"/>
    <w:multiLevelType w:val="multilevel"/>
    <w:tmpl w:val="7E4E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CE8"/>
    <w:rsid w:val="00162CE8"/>
    <w:rsid w:val="002C4FED"/>
    <w:rsid w:val="0096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ED"/>
  </w:style>
  <w:style w:type="paragraph" w:styleId="1">
    <w:name w:val="heading 1"/>
    <w:basedOn w:val="a"/>
    <w:link w:val="10"/>
    <w:uiPriority w:val="9"/>
    <w:qFormat/>
    <w:rsid w:val="00162CE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162CE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162CE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CE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2CE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2CE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16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6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6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2014-09-09T09:12:00Z</cp:lastPrinted>
  <dcterms:created xsi:type="dcterms:W3CDTF">2014-09-09T08:59:00Z</dcterms:created>
  <dcterms:modified xsi:type="dcterms:W3CDTF">2014-09-09T09:12:00Z</dcterms:modified>
</cp:coreProperties>
</file>