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left w:w="0" w:type="dxa"/>
          <w:right w:w="0" w:type="dxa"/>
        </w:tblCellMar>
        <w:tblLook w:val="04A0"/>
      </w:tblPr>
      <w:tblGrid>
        <w:gridCol w:w="9533"/>
      </w:tblGrid>
      <w:tr w:rsidR="00773F2D" w:rsidRPr="00773F2D">
        <w:trPr>
          <w:tblCellSpacing w:w="7" w:type="dxa"/>
        </w:trPr>
        <w:tc>
          <w:tcPr>
            <w:tcW w:w="0" w:type="auto"/>
            <w:shd w:val="clear" w:color="auto" w:fill="C2C9CD"/>
            <w:tcMar>
              <w:top w:w="75" w:type="dxa"/>
              <w:left w:w="75" w:type="dxa"/>
              <w:bottom w:w="75" w:type="dxa"/>
              <w:right w:w="75" w:type="dxa"/>
            </w:tcMar>
            <w:hideMark/>
          </w:tcPr>
          <w:p w:rsidR="00773F2D" w:rsidRPr="00773F2D" w:rsidRDefault="00773F2D" w:rsidP="00773F2D">
            <w:pPr>
              <w:shd w:val="clear" w:color="auto" w:fill="C2C9CD"/>
              <w:spacing w:after="0" w:line="288" w:lineRule="auto"/>
              <w:outlineLvl w:val="2"/>
              <w:rPr>
                <w:rFonts w:ascii="Arial" w:eastAsia="Times New Roman" w:hAnsi="Arial" w:cs="Arial"/>
                <w:color w:val="333333"/>
                <w:sz w:val="18"/>
                <w:szCs w:val="18"/>
              </w:rPr>
            </w:pPr>
            <w:r w:rsidRPr="00773F2D">
              <w:rPr>
                <w:rFonts w:ascii="Arial" w:eastAsia="Times New Roman" w:hAnsi="Arial" w:cs="Arial"/>
                <w:color w:val="333333"/>
                <w:sz w:val="18"/>
                <w:szCs w:val="18"/>
              </w:rPr>
              <w:fldChar w:fldCharType="begin"/>
            </w:r>
            <w:r w:rsidRPr="00773F2D">
              <w:rPr>
                <w:rFonts w:ascii="Arial" w:eastAsia="Times New Roman" w:hAnsi="Arial" w:cs="Arial"/>
                <w:color w:val="333333"/>
                <w:sz w:val="18"/>
                <w:szCs w:val="18"/>
              </w:rPr>
              <w:instrText xml:space="preserve"> HYPERLINK "http://www.b2b-mrsk.ru/firms/view_firm.html?id=247" </w:instrText>
            </w:r>
            <w:r w:rsidRPr="00773F2D">
              <w:rPr>
                <w:rFonts w:ascii="Arial" w:eastAsia="Times New Roman" w:hAnsi="Arial" w:cs="Arial"/>
                <w:color w:val="333333"/>
                <w:sz w:val="18"/>
                <w:szCs w:val="18"/>
              </w:rPr>
              <w:fldChar w:fldCharType="separate"/>
            </w:r>
            <w:r w:rsidRPr="00773F2D">
              <w:rPr>
                <w:rFonts w:ascii="Arial" w:eastAsia="Times New Roman" w:hAnsi="Arial" w:cs="Arial"/>
                <w:b/>
                <w:bCs/>
                <w:color w:val="1C50A4"/>
                <w:sz w:val="18"/>
                <w:szCs w:val="18"/>
              </w:rPr>
              <w:t>Открытое Акционерное Общество энергетики и электрификации "</w:t>
            </w:r>
            <w:proofErr w:type="spellStart"/>
            <w:r w:rsidRPr="00773F2D">
              <w:rPr>
                <w:rFonts w:ascii="Arial" w:eastAsia="Times New Roman" w:hAnsi="Arial" w:cs="Arial"/>
                <w:b/>
                <w:bCs/>
                <w:color w:val="1C50A4"/>
                <w:sz w:val="18"/>
                <w:szCs w:val="18"/>
              </w:rPr>
              <w:t>Тюменьэнерго</w:t>
            </w:r>
            <w:proofErr w:type="spellEnd"/>
            <w:r w:rsidRPr="00773F2D">
              <w:rPr>
                <w:rFonts w:ascii="Arial" w:eastAsia="Times New Roman" w:hAnsi="Arial" w:cs="Arial"/>
                <w:b/>
                <w:bCs/>
                <w:color w:val="1C50A4"/>
                <w:sz w:val="18"/>
                <w:szCs w:val="18"/>
              </w:rPr>
              <w:t>"</w:t>
            </w:r>
            <w:r w:rsidRPr="00773F2D">
              <w:rPr>
                <w:rFonts w:ascii="Arial" w:eastAsia="Times New Roman" w:hAnsi="Arial" w:cs="Arial"/>
                <w:color w:val="333333"/>
                <w:sz w:val="18"/>
                <w:szCs w:val="18"/>
              </w:rPr>
              <w:fldChar w:fldCharType="end"/>
            </w:r>
            <w:r w:rsidRPr="00773F2D">
              <w:rPr>
                <w:rFonts w:ascii="Arial" w:eastAsia="Times New Roman" w:hAnsi="Arial" w:cs="Arial"/>
                <w:color w:val="333333"/>
                <w:sz w:val="18"/>
                <w:szCs w:val="18"/>
              </w:rPr>
              <w:t xml:space="preserve">, 628406, Россия, </w:t>
            </w:r>
            <w:proofErr w:type="gramStart"/>
            <w:r w:rsidRPr="00773F2D">
              <w:rPr>
                <w:rFonts w:ascii="Arial" w:eastAsia="Times New Roman" w:hAnsi="Arial" w:cs="Arial"/>
                <w:color w:val="333333"/>
                <w:sz w:val="18"/>
                <w:szCs w:val="18"/>
              </w:rPr>
              <w:t>г</w:t>
            </w:r>
            <w:proofErr w:type="gramEnd"/>
            <w:r w:rsidRPr="00773F2D">
              <w:rPr>
                <w:rFonts w:ascii="Arial" w:eastAsia="Times New Roman" w:hAnsi="Arial" w:cs="Arial"/>
                <w:color w:val="333333"/>
                <w:sz w:val="18"/>
                <w:szCs w:val="18"/>
              </w:rPr>
              <w:t xml:space="preserve">. Сургут, Тюменская область, </w:t>
            </w:r>
            <w:proofErr w:type="spellStart"/>
            <w:r w:rsidRPr="00773F2D">
              <w:rPr>
                <w:rFonts w:ascii="Arial" w:eastAsia="Times New Roman" w:hAnsi="Arial" w:cs="Arial"/>
                <w:color w:val="333333"/>
                <w:sz w:val="18"/>
                <w:szCs w:val="18"/>
              </w:rPr>
              <w:t>ХМАО-Югра</w:t>
            </w:r>
            <w:proofErr w:type="spellEnd"/>
            <w:r w:rsidRPr="00773F2D">
              <w:rPr>
                <w:rFonts w:ascii="Arial" w:eastAsia="Times New Roman" w:hAnsi="Arial" w:cs="Arial"/>
                <w:color w:val="333333"/>
                <w:sz w:val="18"/>
                <w:szCs w:val="18"/>
              </w:rPr>
              <w:t xml:space="preserve">, ул. Университетская, д.4, </w:t>
            </w:r>
            <w:r w:rsidRPr="00773F2D">
              <w:rPr>
                <w:rFonts w:ascii="Arial" w:eastAsia="Times New Roman" w:hAnsi="Arial" w:cs="Arial"/>
                <w:b/>
                <w:bCs/>
                <w:color w:val="333333"/>
                <w:sz w:val="18"/>
                <w:szCs w:val="18"/>
              </w:rPr>
              <w:t>приглашает принять участие в торгах (тендере)</w:t>
            </w:r>
            <w:r w:rsidRPr="00773F2D">
              <w:rPr>
                <w:rFonts w:ascii="Arial" w:eastAsia="Times New Roman" w:hAnsi="Arial" w:cs="Arial"/>
                <w:color w:val="333333"/>
                <w:sz w:val="18"/>
                <w:szCs w:val="18"/>
              </w:rPr>
              <w:t>.</w:t>
            </w:r>
          </w:p>
        </w:tc>
      </w:tr>
      <w:tr w:rsidR="00773F2D" w:rsidRPr="00773F2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64"/>
              <w:gridCol w:w="7141"/>
            </w:tblGrid>
            <w:tr w:rsidR="00773F2D" w:rsidRPr="00773F2D">
              <w:trPr>
                <w:tblCellSpacing w:w="0" w:type="dxa"/>
              </w:trPr>
              <w:tc>
                <w:tcPr>
                  <w:tcW w:w="0" w:type="auto"/>
                  <w:shd w:val="clear" w:color="auto" w:fill="F7F7F7"/>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Предмет конкурса (тендера):</w:t>
                  </w:r>
                </w:p>
              </w:tc>
              <w:tc>
                <w:tcPr>
                  <w:tcW w:w="0" w:type="auto"/>
                  <w:shd w:val="clear" w:color="auto" w:fill="F7F7F7"/>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Открытый одноэтапный конкурс без предварительного отбора на право заключения Договора на выполнение работ по тиражированию подсистемы УЭД АСУ ФХД в ОАО «</w:t>
                  </w:r>
                  <w:proofErr w:type="spellStart"/>
                  <w:r w:rsidRPr="00773F2D">
                    <w:rPr>
                      <w:rFonts w:ascii="Arial" w:eastAsia="Times New Roman" w:hAnsi="Arial" w:cs="Arial"/>
                      <w:sz w:val="18"/>
                      <w:szCs w:val="18"/>
                    </w:rPr>
                    <w:t>Тюменьэнерго</w:t>
                  </w:r>
                  <w:proofErr w:type="spellEnd"/>
                  <w:r w:rsidRPr="00773F2D">
                    <w:rPr>
                      <w:rFonts w:ascii="Arial" w:eastAsia="Times New Roman" w:hAnsi="Arial" w:cs="Arial"/>
                      <w:sz w:val="18"/>
                      <w:szCs w:val="18"/>
                    </w:rPr>
                    <w:t>»</w:t>
                  </w:r>
                  <w:r w:rsidRPr="00773F2D">
                    <w:rPr>
                      <w:rFonts w:ascii="Arial" w:eastAsia="Times New Roman" w:hAnsi="Arial" w:cs="Arial"/>
                      <w:sz w:val="18"/>
                      <w:szCs w:val="18"/>
                    </w:rPr>
                    <w:br/>
                  </w:r>
                  <w:r w:rsidRPr="00773F2D">
                    <w:rPr>
                      <w:rFonts w:ascii="Arial" w:eastAsia="Times New Roman" w:hAnsi="Arial" w:cs="Arial"/>
                      <w:b/>
                      <w:bCs/>
                      <w:sz w:val="18"/>
                      <w:szCs w:val="18"/>
                    </w:rPr>
                    <w:t>Лот № 1.</w:t>
                  </w:r>
                  <w:r w:rsidRPr="00773F2D">
                    <w:rPr>
                      <w:rFonts w:ascii="Arial" w:eastAsia="Times New Roman" w:hAnsi="Arial" w:cs="Arial"/>
                      <w:sz w:val="18"/>
                      <w:szCs w:val="18"/>
                    </w:rPr>
                    <w:t xml:space="preserve"> Тиражирование подсистемы УЭД АСУ ФХД в ОАО «</w:t>
                  </w:r>
                  <w:proofErr w:type="spellStart"/>
                  <w:r w:rsidRPr="00773F2D">
                    <w:rPr>
                      <w:rFonts w:ascii="Arial" w:eastAsia="Times New Roman" w:hAnsi="Arial" w:cs="Arial"/>
                      <w:sz w:val="18"/>
                      <w:szCs w:val="18"/>
                    </w:rPr>
                    <w:t>Тюменьэнерго</w:t>
                  </w:r>
                  <w:proofErr w:type="spellEnd"/>
                  <w:r w:rsidRPr="00773F2D">
                    <w:rPr>
                      <w:rFonts w:ascii="Arial" w:eastAsia="Times New Roman" w:hAnsi="Arial" w:cs="Arial"/>
                      <w:sz w:val="18"/>
                      <w:szCs w:val="18"/>
                    </w:rPr>
                    <w:t>» (ОАО «</w:t>
                  </w:r>
                  <w:proofErr w:type="spellStart"/>
                  <w:r w:rsidRPr="00773F2D">
                    <w:rPr>
                      <w:rFonts w:ascii="Arial" w:eastAsia="Times New Roman" w:hAnsi="Arial" w:cs="Arial"/>
                      <w:sz w:val="18"/>
                      <w:szCs w:val="18"/>
                    </w:rPr>
                    <w:t>Тюменьэнерго</w:t>
                  </w:r>
                  <w:proofErr w:type="spellEnd"/>
                  <w:r w:rsidRPr="00773F2D">
                    <w:rPr>
                      <w:rFonts w:ascii="Arial" w:eastAsia="Times New Roman" w:hAnsi="Arial" w:cs="Arial"/>
                      <w:sz w:val="18"/>
                      <w:szCs w:val="18"/>
                    </w:rPr>
                    <w:t>»)</w:t>
                  </w:r>
                </w:p>
              </w:tc>
            </w:tr>
            <w:tr w:rsidR="00773F2D" w:rsidRPr="00773F2D">
              <w:trPr>
                <w:tblCellSpacing w:w="0" w:type="dxa"/>
              </w:trPr>
              <w:tc>
                <w:tcPr>
                  <w:tcW w:w="0" w:type="auto"/>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Категории классификатора:</w:t>
                  </w:r>
                </w:p>
              </w:tc>
              <w:tc>
                <w:tcPr>
                  <w:tcW w:w="0" w:type="auto"/>
                  <w:hideMark/>
                </w:tcPr>
                <w:p w:rsidR="00773F2D" w:rsidRPr="00773F2D" w:rsidRDefault="00773F2D" w:rsidP="00773F2D">
                  <w:pPr>
                    <w:spacing w:after="0" w:line="240" w:lineRule="auto"/>
                    <w:rPr>
                      <w:rFonts w:ascii="Arial" w:eastAsia="Times New Roman" w:hAnsi="Arial" w:cs="Arial"/>
                      <w:sz w:val="18"/>
                      <w:szCs w:val="18"/>
                    </w:rPr>
                  </w:pPr>
                  <w:hyperlink r:id="rId4" w:history="1">
                    <w:r w:rsidRPr="00773F2D">
                      <w:rPr>
                        <w:rFonts w:ascii="Arial" w:eastAsia="Times New Roman" w:hAnsi="Arial" w:cs="Arial"/>
                        <w:color w:val="1C50A4"/>
                        <w:sz w:val="18"/>
                        <w:szCs w:val="18"/>
                      </w:rPr>
                      <w:t>Программно-технические комплексы для автоматизации обмена данными (в интегрированных системах) с использованием локальных информационно-вычислительных сетей</w:t>
                    </w:r>
                  </w:hyperlink>
                  <w:r w:rsidRPr="00773F2D">
                    <w:rPr>
                      <w:rFonts w:ascii="Arial" w:eastAsia="Times New Roman" w:hAnsi="Arial" w:cs="Arial"/>
                      <w:sz w:val="18"/>
                      <w:szCs w:val="18"/>
                    </w:rPr>
                    <w:br/>
                  </w:r>
                  <w:hyperlink r:id="rId5" w:history="1">
                    <w:r w:rsidRPr="00773F2D">
                      <w:rPr>
                        <w:rFonts w:ascii="Arial" w:eastAsia="Times New Roman" w:hAnsi="Arial" w:cs="Arial"/>
                        <w:color w:val="1C50A4"/>
                        <w:sz w:val="18"/>
                        <w:szCs w:val="18"/>
                      </w:rPr>
                      <w:t>Автоматизированные информационные системы на основе компьютерных баз данных</w:t>
                    </w:r>
                  </w:hyperlink>
                  <w:r w:rsidRPr="00773F2D">
                    <w:rPr>
                      <w:rFonts w:ascii="Arial" w:eastAsia="Times New Roman" w:hAnsi="Arial" w:cs="Arial"/>
                      <w:sz w:val="18"/>
                      <w:szCs w:val="18"/>
                    </w:rPr>
                    <w:br/>
                  </w:r>
                  <w:hyperlink r:id="rId6" w:history="1">
                    <w:r w:rsidRPr="00773F2D">
                      <w:rPr>
                        <w:rFonts w:ascii="Arial" w:eastAsia="Times New Roman" w:hAnsi="Arial" w:cs="Arial"/>
                        <w:color w:val="1C50A4"/>
                        <w:sz w:val="18"/>
                        <w:szCs w:val="18"/>
                      </w:rPr>
                      <w:t>Автоматизированные системы управления производством</w:t>
                    </w:r>
                  </w:hyperlink>
                </w:p>
              </w:tc>
            </w:tr>
            <w:tr w:rsidR="00773F2D" w:rsidRPr="00773F2D">
              <w:trPr>
                <w:tblCellSpacing w:w="0" w:type="dxa"/>
              </w:trPr>
              <w:tc>
                <w:tcPr>
                  <w:tcW w:w="0" w:type="auto"/>
                  <w:shd w:val="clear" w:color="auto" w:fill="F7F7F7"/>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Конкурс (тендер) объявлен:</w:t>
                  </w:r>
                </w:p>
              </w:tc>
              <w:tc>
                <w:tcPr>
                  <w:tcW w:w="0" w:type="auto"/>
                  <w:shd w:val="clear" w:color="auto" w:fill="F7F7F7"/>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29.06.2012 14:00</w:t>
                  </w:r>
                </w:p>
              </w:tc>
            </w:tr>
            <w:tr w:rsidR="00773F2D" w:rsidRPr="00773F2D">
              <w:trPr>
                <w:tblCellSpacing w:w="0" w:type="dxa"/>
              </w:trPr>
              <w:tc>
                <w:tcPr>
                  <w:tcW w:w="0" w:type="auto"/>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Сроки поставки:</w:t>
                  </w:r>
                </w:p>
              </w:tc>
              <w:tc>
                <w:tcPr>
                  <w:tcW w:w="0" w:type="auto"/>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b/>
                      <w:bCs/>
                      <w:sz w:val="18"/>
                      <w:szCs w:val="18"/>
                    </w:rPr>
                    <w:t>24.09.2012 - 23.08.2013</w:t>
                  </w:r>
                </w:p>
              </w:tc>
            </w:tr>
            <w:tr w:rsidR="00773F2D" w:rsidRPr="00773F2D">
              <w:trPr>
                <w:tblCellSpacing w:w="0" w:type="dxa"/>
              </w:trPr>
              <w:tc>
                <w:tcPr>
                  <w:tcW w:w="0" w:type="auto"/>
                  <w:shd w:val="clear" w:color="auto" w:fill="F7F7F7"/>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Почтовый адрес заказчика:</w:t>
                  </w:r>
                </w:p>
              </w:tc>
              <w:tc>
                <w:tcPr>
                  <w:tcW w:w="0" w:type="auto"/>
                  <w:shd w:val="clear" w:color="auto" w:fill="F7F7F7"/>
                  <w:hideMark/>
                </w:tcPr>
                <w:p w:rsidR="00773F2D" w:rsidRPr="00773F2D" w:rsidRDefault="00773F2D" w:rsidP="00773F2D">
                  <w:pPr>
                    <w:spacing w:after="0" w:line="240" w:lineRule="auto"/>
                    <w:rPr>
                      <w:rFonts w:ascii="Arial" w:eastAsia="Times New Roman" w:hAnsi="Arial" w:cs="Arial"/>
                      <w:sz w:val="18"/>
                      <w:szCs w:val="18"/>
                    </w:rPr>
                  </w:pPr>
                  <w:proofErr w:type="gramStart"/>
                  <w:r w:rsidRPr="00773F2D">
                    <w:rPr>
                      <w:rFonts w:ascii="Arial" w:eastAsia="Times New Roman" w:hAnsi="Arial" w:cs="Arial"/>
                      <w:sz w:val="18"/>
                      <w:szCs w:val="18"/>
                    </w:rPr>
                    <w:t xml:space="preserve">628406, Россия, г. Сургут, Тюменская область, </w:t>
                  </w:r>
                  <w:proofErr w:type="spellStart"/>
                  <w:r w:rsidRPr="00773F2D">
                    <w:rPr>
                      <w:rFonts w:ascii="Arial" w:eastAsia="Times New Roman" w:hAnsi="Arial" w:cs="Arial"/>
                      <w:sz w:val="18"/>
                      <w:szCs w:val="18"/>
                    </w:rPr>
                    <w:t>ХМАО-Югра</w:t>
                  </w:r>
                  <w:proofErr w:type="spellEnd"/>
                  <w:r w:rsidRPr="00773F2D">
                    <w:rPr>
                      <w:rFonts w:ascii="Arial" w:eastAsia="Times New Roman" w:hAnsi="Arial" w:cs="Arial"/>
                      <w:sz w:val="18"/>
                      <w:szCs w:val="18"/>
                    </w:rPr>
                    <w:t>, ул. Университетская, д.4</w:t>
                  </w:r>
                  <w:proofErr w:type="gramEnd"/>
                </w:p>
              </w:tc>
            </w:tr>
            <w:tr w:rsidR="00773F2D" w:rsidRPr="00773F2D">
              <w:trPr>
                <w:tblCellSpacing w:w="0" w:type="dxa"/>
              </w:trPr>
              <w:tc>
                <w:tcPr>
                  <w:tcW w:w="0" w:type="auto"/>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Местонахождение заказчика:</w:t>
                  </w:r>
                </w:p>
              </w:tc>
              <w:tc>
                <w:tcPr>
                  <w:tcW w:w="0" w:type="auto"/>
                  <w:hideMark/>
                </w:tcPr>
                <w:p w:rsidR="00773F2D" w:rsidRPr="00773F2D" w:rsidRDefault="00773F2D" w:rsidP="00773F2D">
                  <w:pPr>
                    <w:spacing w:after="0" w:line="240" w:lineRule="auto"/>
                    <w:rPr>
                      <w:rFonts w:ascii="Arial" w:eastAsia="Times New Roman" w:hAnsi="Arial" w:cs="Arial"/>
                      <w:sz w:val="18"/>
                      <w:szCs w:val="18"/>
                    </w:rPr>
                  </w:pPr>
                  <w:proofErr w:type="gramStart"/>
                  <w:r w:rsidRPr="00773F2D">
                    <w:rPr>
                      <w:rFonts w:ascii="Arial" w:eastAsia="Times New Roman" w:hAnsi="Arial" w:cs="Arial"/>
                      <w:sz w:val="18"/>
                      <w:szCs w:val="18"/>
                    </w:rPr>
                    <w:t xml:space="preserve">628406, Россия, г. Сургут, Тюменская область, </w:t>
                  </w:r>
                  <w:proofErr w:type="spellStart"/>
                  <w:r w:rsidRPr="00773F2D">
                    <w:rPr>
                      <w:rFonts w:ascii="Arial" w:eastAsia="Times New Roman" w:hAnsi="Arial" w:cs="Arial"/>
                      <w:sz w:val="18"/>
                      <w:szCs w:val="18"/>
                    </w:rPr>
                    <w:t>ХМАО-Югра</w:t>
                  </w:r>
                  <w:proofErr w:type="spellEnd"/>
                  <w:r w:rsidRPr="00773F2D">
                    <w:rPr>
                      <w:rFonts w:ascii="Arial" w:eastAsia="Times New Roman" w:hAnsi="Arial" w:cs="Arial"/>
                      <w:sz w:val="18"/>
                      <w:szCs w:val="18"/>
                    </w:rPr>
                    <w:t>, ул. Университетская, д.4</w:t>
                  </w:r>
                  <w:proofErr w:type="gramEnd"/>
                </w:p>
              </w:tc>
            </w:tr>
            <w:tr w:rsidR="00773F2D" w:rsidRPr="00773F2D">
              <w:trPr>
                <w:tblCellSpacing w:w="0" w:type="dxa"/>
              </w:trPr>
              <w:tc>
                <w:tcPr>
                  <w:tcW w:w="0" w:type="auto"/>
                  <w:shd w:val="clear" w:color="auto" w:fill="F7F7F7"/>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Контактное лицо:</w:t>
                  </w:r>
                </w:p>
              </w:tc>
              <w:tc>
                <w:tcPr>
                  <w:tcW w:w="0" w:type="auto"/>
                  <w:shd w:val="clear" w:color="auto" w:fill="F7F7F7"/>
                  <w:hideMark/>
                </w:tcPr>
                <w:p w:rsidR="00773F2D" w:rsidRPr="00773F2D" w:rsidRDefault="00773F2D" w:rsidP="00773F2D">
                  <w:pPr>
                    <w:spacing w:after="0" w:line="240" w:lineRule="auto"/>
                    <w:rPr>
                      <w:rFonts w:ascii="Arial" w:eastAsia="Times New Roman" w:hAnsi="Arial" w:cs="Arial"/>
                      <w:sz w:val="18"/>
                      <w:szCs w:val="18"/>
                    </w:rPr>
                  </w:pPr>
                  <w:hyperlink r:id="rId7" w:tgtFrame="_blank" w:tooltip="Отправить личное сообщение" w:history="1">
                    <w:r w:rsidRPr="00773F2D">
                      <w:rPr>
                        <w:rFonts w:ascii="Arial" w:eastAsia="Times New Roman" w:hAnsi="Arial" w:cs="Arial"/>
                        <w:color w:val="1C50A4"/>
                        <w:sz w:val="18"/>
                        <w:szCs w:val="18"/>
                      </w:rPr>
                      <w:t>Дурасова Нина Ивановна</w:t>
                    </w:r>
                  </w:hyperlink>
                  <w:r w:rsidRPr="00773F2D">
                    <w:rPr>
                      <w:rFonts w:ascii="Arial" w:eastAsia="Times New Roman" w:hAnsi="Arial" w:cs="Arial"/>
                      <w:sz w:val="18"/>
                      <w:szCs w:val="18"/>
                    </w:rPr>
                    <w:t xml:space="preserve">, тел.+7 (3462) 77-67-00, </w:t>
                  </w:r>
                  <w:hyperlink r:id="rId8" w:history="1">
                    <w:r w:rsidRPr="00773F2D">
                      <w:rPr>
                        <w:rFonts w:ascii="Arial" w:eastAsia="Times New Roman" w:hAnsi="Arial" w:cs="Arial"/>
                        <w:color w:val="1C50A4"/>
                        <w:sz w:val="18"/>
                        <w:szCs w:val="18"/>
                      </w:rPr>
                      <w:t>DurasovaN@id.te.ru</w:t>
                    </w:r>
                  </w:hyperlink>
                </w:p>
              </w:tc>
            </w:tr>
            <w:tr w:rsidR="00773F2D" w:rsidRPr="00773F2D">
              <w:trPr>
                <w:tblCellSpacing w:w="0" w:type="dxa"/>
              </w:trPr>
              <w:tc>
                <w:tcPr>
                  <w:tcW w:w="0" w:type="auto"/>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Конкурсная комиссия:</w:t>
                  </w:r>
                </w:p>
              </w:tc>
              <w:tc>
                <w:tcPr>
                  <w:tcW w:w="0" w:type="auto"/>
                  <w:hideMark/>
                </w:tcPr>
                <w:p w:rsidR="00773F2D" w:rsidRPr="00773F2D" w:rsidRDefault="00773F2D" w:rsidP="00773F2D">
                  <w:pPr>
                    <w:spacing w:after="0" w:line="240" w:lineRule="auto"/>
                    <w:rPr>
                      <w:rFonts w:ascii="Arial" w:eastAsia="Times New Roman" w:hAnsi="Arial" w:cs="Arial"/>
                      <w:sz w:val="18"/>
                      <w:szCs w:val="18"/>
                    </w:rPr>
                  </w:pPr>
                  <w:proofErr w:type="gramStart"/>
                  <w:r w:rsidRPr="00773F2D">
                    <w:rPr>
                      <w:rFonts w:ascii="Arial" w:eastAsia="Times New Roman" w:hAnsi="Arial" w:cs="Arial"/>
                      <w:sz w:val="18"/>
                      <w:szCs w:val="18"/>
                    </w:rPr>
                    <w:t>Назначена</w:t>
                  </w:r>
                  <w:proofErr w:type="gramEnd"/>
                  <w:r w:rsidRPr="00773F2D">
                    <w:rPr>
                      <w:rFonts w:ascii="Arial" w:eastAsia="Times New Roman" w:hAnsi="Arial" w:cs="Arial"/>
                      <w:sz w:val="18"/>
                      <w:szCs w:val="18"/>
                    </w:rPr>
                    <w:t xml:space="preserve"> приказом ОАО "</w:t>
                  </w:r>
                  <w:proofErr w:type="spellStart"/>
                  <w:r w:rsidRPr="00773F2D">
                    <w:rPr>
                      <w:rFonts w:ascii="Arial" w:eastAsia="Times New Roman" w:hAnsi="Arial" w:cs="Arial"/>
                      <w:sz w:val="18"/>
                      <w:szCs w:val="18"/>
                    </w:rPr>
                    <w:t>Тюменьэнерго</w:t>
                  </w:r>
                  <w:proofErr w:type="spellEnd"/>
                  <w:r w:rsidRPr="00773F2D">
                    <w:rPr>
                      <w:rFonts w:ascii="Arial" w:eastAsia="Times New Roman" w:hAnsi="Arial" w:cs="Arial"/>
                      <w:sz w:val="18"/>
                      <w:szCs w:val="18"/>
                    </w:rPr>
                    <w:t>" от 26.03.2012 № 122.</w:t>
                  </w:r>
                </w:p>
              </w:tc>
            </w:tr>
            <w:tr w:rsidR="00773F2D" w:rsidRPr="00773F2D">
              <w:trPr>
                <w:tblCellSpacing w:w="0" w:type="dxa"/>
              </w:trPr>
              <w:tc>
                <w:tcPr>
                  <w:tcW w:w="0" w:type="auto"/>
                  <w:shd w:val="clear" w:color="auto" w:fill="F7F7F7"/>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Требования к участникам:</w:t>
                  </w:r>
                </w:p>
              </w:tc>
              <w:tc>
                <w:tcPr>
                  <w:tcW w:w="0" w:type="auto"/>
                  <w:shd w:val="clear" w:color="auto" w:fill="F7F7F7"/>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Участник конкурса должен обладать гражданской правоспособностью в полном объеме для заключения и исполнения Договора.</w:t>
                  </w:r>
                  <w:r w:rsidRPr="00773F2D">
                    <w:rPr>
                      <w:rFonts w:ascii="Arial" w:eastAsia="Times New Roman" w:hAnsi="Arial" w:cs="Arial"/>
                      <w:sz w:val="18"/>
                      <w:szCs w:val="18"/>
                    </w:rPr>
                    <w:br/>
                  </w:r>
                  <w:proofErr w:type="gramStart"/>
                  <w:r w:rsidRPr="00773F2D">
                    <w:rPr>
                      <w:rFonts w:ascii="Arial" w:eastAsia="Times New Roman" w:hAnsi="Arial" w:cs="Arial"/>
                      <w:sz w:val="18"/>
                      <w:szCs w:val="18"/>
                    </w:rP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 (с учетом всех заявленных партнеров и соисполнителей необходимо показать не менее 1 завершенного аналогичного договора по тиражированию подсистемы УЭД АСУ ФХД).</w:t>
                  </w:r>
                  <w:proofErr w:type="gramEnd"/>
                  <w:r w:rsidRPr="00773F2D">
                    <w:rPr>
                      <w:rFonts w:ascii="Arial" w:eastAsia="Times New Roman" w:hAnsi="Arial" w:cs="Arial"/>
                      <w:sz w:val="18"/>
                      <w:szCs w:val="18"/>
                    </w:rPr>
                    <w:br/>
                    <w:t>Участнику конкурса (с учетом всех заявленных партнеров и соисполнителей) желательно обладать опытом:</w:t>
                  </w:r>
                  <w:r w:rsidRPr="00773F2D">
                    <w:rPr>
                      <w:rFonts w:ascii="Arial" w:eastAsia="Times New Roman" w:hAnsi="Arial" w:cs="Arial"/>
                      <w:sz w:val="18"/>
                      <w:szCs w:val="18"/>
                    </w:rPr>
                    <w:br/>
                    <w:t>- по реализации схожих проектов в крупных компаниях (численность персонала более 1000 человек);</w:t>
                  </w:r>
                  <w:r w:rsidRPr="00773F2D">
                    <w:rPr>
                      <w:rFonts w:ascii="Arial" w:eastAsia="Times New Roman" w:hAnsi="Arial" w:cs="Arial"/>
                      <w:sz w:val="18"/>
                      <w:szCs w:val="18"/>
                    </w:rPr>
                    <w:br/>
                    <w:t>- с компаниями электроэнергетики: не менее одного крупного проекта в российской сетевой электроэнергетической компании;</w:t>
                  </w:r>
                  <w:r w:rsidRPr="00773F2D">
                    <w:rPr>
                      <w:rFonts w:ascii="Arial" w:eastAsia="Times New Roman" w:hAnsi="Arial" w:cs="Arial"/>
                      <w:sz w:val="18"/>
                      <w:szCs w:val="18"/>
                    </w:rPr>
                    <w:br/>
                    <w:t>- общий и специальный опыт работы на рынке не менее 3 лет.</w:t>
                  </w:r>
                  <w:r w:rsidRPr="00773F2D">
                    <w:rPr>
                      <w:rFonts w:ascii="Arial" w:eastAsia="Times New Roman" w:hAnsi="Arial" w:cs="Arial"/>
                      <w:sz w:val="18"/>
                      <w:szCs w:val="18"/>
                    </w:rPr>
                    <w:br/>
                    <w:t xml:space="preserve">Наличие законченных проектов по автоматизации финансово-хозяйственной деятельности предприятия на базе SAP ERP, включающих внедрение и сопровождение подсистемы управления энергетическими данными (УЭД) на базе модуля </w:t>
                  </w:r>
                  <w:r w:rsidRPr="00773F2D">
                    <w:rPr>
                      <w:rFonts w:ascii="Arial" w:eastAsia="Times New Roman" w:hAnsi="Arial" w:cs="Arial"/>
                      <w:sz w:val="18"/>
                      <w:szCs w:val="18"/>
                    </w:rPr>
                    <w:br/>
                    <w:t>I-SU.</w:t>
                  </w:r>
                  <w:r w:rsidRPr="00773F2D">
                    <w:rPr>
                      <w:rFonts w:ascii="Arial" w:eastAsia="Times New Roman" w:hAnsi="Arial" w:cs="Arial"/>
                      <w:sz w:val="18"/>
                      <w:szCs w:val="18"/>
                    </w:rPr>
                    <w:br/>
                    <w:t xml:space="preserve">Наличие действующего статуса SAP </w:t>
                  </w:r>
                  <w:proofErr w:type="spellStart"/>
                  <w:r w:rsidRPr="00773F2D">
                    <w:rPr>
                      <w:rFonts w:ascii="Arial" w:eastAsia="Times New Roman" w:hAnsi="Arial" w:cs="Arial"/>
                      <w:sz w:val="18"/>
                      <w:szCs w:val="18"/>
                    </w:rPr>
                    <w:t>Partner</w:t>
                  </w:r>
                  <w:proofErr w:type="spellEnd"/>
                  <w:r w:rsidRPr="00773F2D">
                    <w:rPr>
                      <w:rFonts w:ascii="Arial" w:eastAsia="Times New Roman" w:hAnsi="Arial" w:cs="Arial"/>
                      <w:sz w:val="18"/>
                      <w:szCs w:val="18"/>
                    </w:rPr>
                    <w:t>.</w:t>
                  </w:r>
                  <w:r w:rsidRPr="00773F2D">
                    <w:rPr>
                      <w:rFonts w:ascii="Arial" w:eastAsia="Times New Roman" w:hAnsi="Arial" w:cs="Arial"/>
                      <w:sz w:val="18"/>
                      <w:szCs w:val="18"/>
                    </w:rPr>
                    <w:br/>
                    <w:t xml:space="preserve">Участник должен обладать необходимыми кадровыми ресурсами: </w:t>
                  </w:r>
                  <w:r w:rsidRPr="00773F2D">
                    <w:rPr>
                      <w:rFonts w:ascii="Arial" w:eastAsia="Times New Roman" w:hAnsi="Arial" w:cs="Arial"/>
                      <w:sz w:val="18"/>
                      <w:szCs w:val="18"/>
                    </w:rPr>
                    <w:br/>
                    <w:t>- не менее 10 специалистов, имеющих практический опыт выполнения работ по настройке, постановке технических заданий и разработке системы на базе SAP ERP (включая модуль I-SU);</w:t>
                  </w:r>
                  <w:r w:rsidRPr="00773F2D">
                    <w:rPr>
                      <w:rFonts w:ascii="Arial" w:eastAsia="Times New Roman" w:hAnsi="Arial" w:cs="Arial"/>
                      <w:sz w:val="18"/>
                      <w:szCs w:val="18"/>
                    </w:rPr>
                    <w:br/>
                    <w:t>- наличие у Участника конкурсной процедуры 10% штатных сотрудников сертификации по программным продуктам SAP (информационных систем комплексного управления ресурсами предприятия).</w:t>
                  </w:r>
                  <w:r w:rsidRPr="00773F2D">
                    <w:rPr>
                      <w:rFonts w:ascii="Arial" w:eastAsia="Times New Roman" w:hAnsi="Arial" w:cs="Arial"/>
                      <w:sz w:val="18"/>
                      <w:szCs w:val="18"/>
                    </w:rPr>
                    <w:br/>
                  </w:r>
                  <w:proofErr w:type="gramStart"/>
                  <w:r w:rsidRPr="00773F2D">
                    <w:rPr>
                      <w:rFonts w:ascii="Arial" w:eastAsia="Times New Roman" w:hAnsi="Arial" w:cs="Arial"/>
                      <w:sz w:val="18"/>
                      <w:szCs w:val="18"/>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773F2D">
                    <w:rPr>
                      <w:rFonts w:ascii="Arial" w:eastAsia="Times New Roman" w:hAnsi="Arial" w:cs="Arial"/>
                      <w:sz w:val="18"/>
                      <w:szCs w:val="18"/>
                    </w:rPr>
                    <w:br/>
                    <w:t>Участник конкурса должен дать согласие на проведение проверки благонадежности Службой экономической безопасности ОАО «</w:t>
                  </w:r>
                  <w:proofErr w:type="spellStart"/>
                  <w:r w:rsidRPr="00773F2D">
                    <w:rPr>
                      <w:rFonts w:ascii="Arial" w:eastAsia="Times New Roman" w:hAnsi="Arial" w:cs="Arial"/>
                      <w:sz w:val="18"/>
                      <w:szCs w:val="18"/>
                    </w:rPr>
                    <w:t>Тюменьэнерго</w:t>
                  </w:r>
                  <w:proofErr w:type="spellEnd"/>
                  <w:r w:rsidRPr="00773F2D">
                    <w:rPr>
                      <w:rFonts w:ascii="Arial" w:eastAsia="Times New Roman" w:hAnsi="Arial" w:cs="Arial"/>
                      <w:sz w:val="18"/>
                      <w:szCs w:val="18"/>
                    </w:rPr>
                    <w:t xml:space="preserve">» (СЭБ </w:t>
                  </w:r>
                  <w:r w:rsidRPr="00773F2D">
                    <w:rPr>
                      <w:rFonts w:ascii="Arial" w:eastAsia="Times New Roman" w:hAnsi="Arial" w:cs="Arial"/>
                      <w:sz w:val="18"/>
                      <w:szCs w:val="18"/>
                    </w:rPr>
                    <w:br/>
                    <w:t>ОАО «</w:t>
                  </w:r>
                  <w:proofErr w:type="spellStart"/>
                  <w:r w:rsidRPr="00773F2D">
                    <w:rPr>
                      <w:rFonts w:ascii="Arial" w:eastAsia="Times New Roman" w:hAnsi="Arial" w:cs="Arial"/>
                      <w:sz w:val="18"/>
                      <w:szCs w:val="18"/>
                    </w:rPr>
                    <w:t>Тюменьэнерго</w:t>
                  </w:r>
                  <w:proofErr w:type="spellEnd"/>
                  <w:r w:rsidRPr="00773F2D">
                    <w:rPr>
                      <w:rFonts w:ascii="Arial" w:eastAsia="Times New Roman" w:hAnsi="Arial" w:cs="Arial"/>
                      <w:sz w:val="18"/>
                      <w:szCs w:val="18"/>
                    </w:rPr>
                    <w:t>»).</w:t>
                  </w:r>
                  <w:proofErr w:type="gramEnd"/>
                  <w:r w:rsidRPr="00773F2D">
                    <w:rPr>
                      <w:rFonts w:ascii="Arial" w:eastAsia="Times New Roman" w:hAnsi="Arial" w:cs="Arial"/>
                      <w:sz w:val="18"/>
                      <w:szCs w:val="18"/>
                    </w:rPr>
                    <w:t xml:space="preserve"> Результат проверки благонадежности Участника конкурса оформляется заключением СЭБ Организатора конкурса и оспариванию не подлежит. </w:t>
                  </w:r>
                  <w:proofErr w:type="gramStart"/>
                  <w:r w:rsidRPr="00773F2D">
                    <w:rPr>
                      <w:rFonts w:ascii="Arial" w:eastAsia="Times New Roman" w:hAnsi="Arial" w:cs="Arial"/>
                      <w:sz w:val="18"/>
                      <w:szCs w:val="18"/>
                    </w:rPr>
                    <w:t>В отношении Участника конкурса должно быть получено положительное заключение СЭБ Организатора Конкурса</w:t>
                  </w:r>
                  <w:r w:rsidRPr="00773F2D">
                    <w:rPr>
                      <w:rFonts w:ascii="Arial" w:eastAsia="Times New Roman" w:hAnsi="Arial" w:cs="Arial"/>
                      <w:sz w:val="18"/>
                      <w:szCs w:val="18"/>
                    </w:rPr>
                    <w:br/>
                    <w:t xml:space="preserve">Техническое и коммерческое предложения должны соответствовать требованиям </w:t>
                  </w:r>
                  <w:r w:rsidRPr="00773F2D">
                    <w:rPr>
                      <w:rFonts w:ascii="Arial" w:eastAsia="Times New Roman" w:hAnsi="Arial" w:cs="Arial"/>
                      <w:sz w:val="18"/>
                      <w:szCs w:val="18"/>
                    </w:rPr>
                    <w:lastRenderedPageBreak/>
                    <w:t>Заказчика</w:t>
                  </w:r>
                  <w:r w:rsidRPr="00773F2D">
                    <w:rPr>
                      <w:rFonts w:ascii="Arial" w:eastAsia="Times New Roman" w:hAnsi="Arial" w:cs="Arial"/>
                      <w:sz w:val="18"/>
                      <w:szCs w:val="18"/>
                    </w:rPr>
                    <w:br/>
                    <w:t xml:space="preserve">Участник конкурса не должен быть </w:t>
                  </w:r>
                  <w:proofErr w:type="spellStart"/>
                  <w:r w:rsidRPr="00773F2D">
                    <w:rPr>
                      <w:rFonts w:ascii="Arial" w:eastAsia="Times New Roman" w:hAnsi="Arial" w:cs="Arial"/>
                      <w:sz w:val="18"/>
                      <w:szCs w:val="18"/>
                    </w:rPr>
                    <w:t>аффилированным</w:t>
                  </w:r>
                  <w:proofErr w:type="spellEnd"/>
                  <w:r w:rsidRPr="00773F2D">
                    <w:rPr>
                      <w:rFonts w:ascii="Arial" w:eastAsia="Times New Roman" w:hAnsi="Arial" w:cs="Arial"/>
                      <w:sz w:val="18"/>
                      <w:szCs w:val="18"/>
                    </w:rPr>
                    <w:t xml:space="preserve"> с Организатором (Заказчиком)</w:t>
                  </w:r>
                  <w:r w:rsidRPr="00773F2D">
                    <w:rPr>
                      <w:rFonts w:ascii="Arial" w:eastAsia="Times New Roman" w:hAnsi="Arial" w:cs="Arial"/>
                      <w:sz w:val="18"/>
                      <w:szCs w:val="18"/>
                    </w:rPr>
                    <w:br/>
                    <w:t xml:space="preserve">Участник не должен быть </w:t>
                  </w:r>
                  <w:proofErr w:type="spellStart"/>
                  <w:r w:rsidRPr="00773F2D">
                    <w:rPr>
                      <w:rFonts w:ascii="Arial" w:eastAsia="Times New Roman" w:hAnsi="Arial" w:cs="Arial"/>
                      <w:sz w:val="18"/>
                      <w:szCs w:val="18"/>
                    </w:rPr>
                    <w:t>аффилированным</w:t>
                  </w:r>
                  <w:proofErr w:type="spellEnd"/>
                  <w:r w:rsidRPr="00773F2D">
                    <w:rPr>
                      <w:rFonts w:ascii="Arial" w:eastAsia="Times New Roman" w:hAnsi="Arial" w:cs="Arial"/>
                      <w:sz w:val="18"/>
                      <w:szCs w:val="18"/>
                    </w:rPr>
                    <w:t xml:space="preserve"> к другим Участникам</w:t>
                  </w:r>
                  <w:r w:rsidRPr="00773F2D">
                    <w:rPr>
                      <w:rFonts w:ascii="Arial" w:eastAsia="Times New Roman" w:hAnsi="Arial" w:cs="Arial"/>
                      <w:sz w:val="18"/>
                      <w:szCs w:val="18"/>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w:t>
                  </w:r>
                  <w:proofErr w:type="gramEnd"/>
                  <w:r w:rsidRPr="00773F2D">
                    <w:rPr>
                      <w:rFonts w:ascii="Arial" w:eastAsia="Times New Roman" w:hAnsi="Arial" w:cs="Arial"/>
                      <w:sz w:val="18"/>
                      <w:szCs w:val="18"/>
                    </w:rPr>
                    <w:t xml:space="preserve"> </w:t>
                  </w:r>
                  <w:proofErr w:type="gramStart"/>
                  <w:r w:rsidRPr="00773F2D">
                    <w:rPr>
                      <w:rFonts w:ascii="Arial" w:eastAsia="Times New Roman" w:hAnsi="Arial" w:cs="Arial"/>
                      <w:sz w:val="18"/>
                      <w:szCs w:val="18"/>
                    </w:rPr>
                    <w:t xml:space="preserve">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w:t>
                  </w:r>
                  <w:r w:rsidRPr="00773F2D">
                    <w:rPr>
                      <w:rFonts w:ascii="Arial" w:eastAsia="Times New Roman" w:hAnsi="Arial" w:cs="Arial"/>
                      <w:sz w:val="18"/>
                      <w:szCs w:val="18"/>
                    </w:rPr>
                    <w:br/>
                    <w:t>"О размещении заказов на поставки товаров, выполнение работ, оказание услуг для государственных и муниципальных нужд".</w:t>
                  </w:r>
                  <w:proofErr w:type="gramEnd"/>
                  <w:r w:rsidRPr="00773F2D">
                    <w:rPr>
                      <w:rFonts w:ascii="Arial" w:eastAsia="Times New Roman"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73F2D" w:rsidRPr="00773F2D">
              <w:trPr>
                <w:tblCellSpacing w:w="0" w:type="dxa"/>
              </w:trPr>
              <w:tc>
                <w:tcPr>
                  <w:tcW w:w="0" w:type="auto"/>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lastRenderedPageBreak/>
                    <w:t>Комплект конкурсной документации:</w:t>
                  </w:r>
                </w:p>
              </w:tc>
              <w:tc>
                <w:tcPr>
                  <w:tcW w:w="0" w:type="auto"/>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773F2D">
                    <w:rPr>
                      <w:rFonts w:ascii="Arial" w:eastAsia="Times New Roman" w:hAnsi="Arial" w:cs="Arial"/>
                      <w:sz w:val="18"/>
                      <w:szCs w:val="18"/>
                    </w:rPr>
                    <w:br/>
                    <w:t xml:space="preserve">Информация о закупке также размещена на сайте Заказчика по адресу: </w:t>
                  </w:r>
                  <w:proofErr w:type="spellStart"/>
                  <w:r w:rsidRPr="00773F2D">
                    <w:rPr>
                      <w:rFonts w:ascii="Arial" w:eastAsia="Times New Roman" w:hAnsi="Arial" w:cs="Arial"/>
                      <w:sz w:val="18"/>
                      <w:szCs w:val="18"/>
                    </w:rPr>
                    <w:t>www.te.ru</w:t>
                  </w:r>
                  <w:proofErr w:type="spellEnd"/>
                  <w:r w:rsidRPr="00773F2D">
                    <w:rPr>
                      <w:rFonts w:ascii="Arial" w:eastAsia="Times New Roman" w:hAnsi="Arial" w:cs="Arial"/>
                      <w:sz w:val="18"/>
                      <w:szCs w:val="18"/>
                    </w:rPr>
                    <w:t xml:space="preserve"> в разделе «Закупки» и доступна для ознакомления без взимания платы.</w:t>
                  </w:r>
                </w:p>
              </w:tc>
            </w:tr>
            <w:tr w:rsidR="00773F2D" w:rsidRPr="00773F2D">
              <w:trPr>
                <w:tblCellSpacing w:w="0" w:type="dxa"/>
              </w:trPr>
              <w:tc>
                <w:tcPr>
                  <w:tcW w:w="0" w:type="auto"/>
                  <w:shd w:val="clear" w:color="auto" w:fill="F7F7F7"/>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Конкурсная документация:</w:t>
                  </w:r>
                </w:p>
              </w:tc>
              <w:tc>
                <w:tcPr>
                  <w:tcW w:w="0" w:type="auto"/>
                  <w:shd w:val="clear" w:color="auto" w:fill="F7F7F7"/>
                  <w:hideMark/>
                </w:tcPr>
                <w:p w:rsidR="00773F2D" w:rsidRPr="00773F2D" w:rsidRDefault="00773F2D" w:rsidP="00773F2D">
                  <w:pPr>
                    <w:spacing w:after="0" w:line="240" w:lineRule="auto"/>
                    <w:rPr>
                      <w:rFonts w:ascii="Arial" w:eastAsia="Times New Roman" w:hAnsi="Arial" w:cs="Arial"/>
                      <w:sz w:val="18"/>
                      <w:szCs w:val="18"/>
                    </w:rPr>
                  </w:pPr>
                  <w:hyperlink r:id="rId9" w:tgtFrame="_blank" w:history="1">
                    <w:r w:rsidRPr="00773F2D">
                      <w:rPr>
                        <w:rFonts w:ascii="Arial" w:eastAsia="Times New Roman" w:hAnsi="Arial" w:cs="Arial"/>
                        <w:color w:val="1C50A4"/>
                        <w:sz w:val="18"/>
                        <w:szCs w:val="18"/>
                      </w:rPr>
                      <w:t xml:space="preserve">Скачать файл </w:t>
                    </w:r>
                    <w:r w:rsidRPr="00773F2D">
                      <w:rPr>
                        <w:rFonts w:ascii="Arial" w:eastAsia="Times New Roman" w:hAnsi="Arial" w:cs="Arial"/>
                        <w:b/>
                        <w:bCs/>
                        <w:color w:val="1C50A4"/>
                        <w:sz w:val="18"/>
                        <w:szCs w:val="18"/>
                      </w:rPr>
                      <w:t xml:space="preserve">ОК 30965 АСУ </w:t>
                    </w:r>
                    <w:proofErr w:type="spellStart"/>
                    <w:r w:rsidRPr="00773F2D">
                      <w:rPr>
                        <w:rFonts w:ascii="Arial" w:eastAsia="Times New Roman" w:hAnsi="Arial" w:cs="Arial"/>
                        <w:b/>
                        <w:bCs/>
                        <w:color w:val="1C50A4"/>
                        <w:sz w:val="18"/>
                        <w:szCs w:val="18"/>
                      </w:rPr>
                      <w:t>ФХД.zip</w:t>
                    </w:r>
                    <w:proofErr w:type="spellEnd"/>
                  </w:hyperlink>
                  <w:r w:rsidRPr="00773F2D">
                    <w:rPr>
                      <w:rFonts w:ascii="Arial" w:eastAsia="Times New Roman" w:hAnsi="Arial" w:cs="Arial"/>
                      <w:sz w:val="18"/>
                      <w:szCs w:val="18"/>
                    </w:rPr>
                    <w:t> (6.4 Мб)</w:t>
                  </w:r>
                </w:p>
                <w:p w:rsidR="00773F2D" w:rsidRPr="00773F2D" w:rsidRDefault="00773F2D" w:rsidP="00773F2D">
                  <w:pPr>
                    <w:spacing w:after="0" w:line="240" w:lineRule="auto"/>
                    <w:rPr>
                      <w:rFonts w:ascii="Arial" w:eastAsia="Times New Roman" w:hAnsi="Arial" w:cs="Arial"/>
                      <w:sz w:val="18"/>
                      <w:szCs w:val="18"/>
                    </w:rPr>
                  </w:pPr>
                  <w:hyperlink r:id="rId10" w:history="1">
                    <w:r w:rsidRPr="00773F2D">
                      <w:rPr>
                        <w:rFonts w:ascii="Arial" w:eastAsia="Times New Roman" w:hAnsi="Arial" w:cs="Arial"/>
                        <w:b/>
                        <w:bCs/>
                        <w:color w:val="1C50A4"/>
                        <w:sz w:val="18"/>
                        <w:szCs w:val="18"/>
                      </w:rPr>
                      <w:t>Редактировать конкурсную документацию</w:t>
                    </w:r>
                  </w:hyperlink>
                  <w:r w:rsidRPr="00773F2D">
                    <w:rPr>
                      <w:rFonts w:ascii="Arial" w:eastAsia="Times New Roman" w:hAnsi="Arial" w:cs="Arial"/>
                      <w:sz w:val="18"/>
                      <w:szCs w:val="18"/>
                    </w:rPr>
                    <w:t xml:space="preserve"> </w:t>
                  </w:r>
                </w:p>
                <w:p w:rsidR="00773F2D" w:rsidRPr="00773F2D" w:rsidRDefault="00773F2D" w:rsidP="00773F2D">
                  <w:pPr>
                    <w:spacing w:after="0" w:line="240" w:lineRule="auto"/>
                    <w:rPr>
                      <w:rFonts w:ascii="Arial" w:eastAsia="Times New Roman" w:hAnsi="Arial" w:cs="Arial"/>
                      <w:sz w:val="18"/>
                      <w:szCs w:val="18"/>
                    </w:rPr>
                  </w:pPr>
                  <w:hyperlink r:id="rId11" w:tgtFrame="signature" w:history="1">
                    <w:r w:rsidRPr="00773F2D">
                      <w:rPr>
                        <w:rFonts w:ascii="Arial" w:eastAsia="Times New Roman" w:hAnsi="Arial" w:cs="Arial"/>
                        <w:color w:val="1C50A4"/>
                        <w:sz w:val="18"/>
                        <w:szCs w:val="18"/>
                      </w:rPr>
                      <w:t>Подписана ЭЦП</w:t>
                    </w:r>
                  </w:hyperlink>
                </w:p>
                <w:p w:rsidR="00773F2D" w:rsidRPr="00773F2D" w:rsidRDefault="00773F2D" w:rsidP="00773F2D">
                  <w:pPr>
                    <w:spacing w:after="0" w:line="240" w:lineRule="auto"/>
                    <w:rPr>
                      <w:rFonts w:ascii="Arial" w:eastAsia="Times New Roman" w:hAnsi="Arial" w:cs="Arial"/>
                      <w:sz w:val="18"/>
                      <w:szCs w:val="18"/>
                    </w:rPr>
                  </w:pPr>
                  <w:hyperlink r:id="rId12" w:history="1">
                    <w:r w:rsidRPr="00773F2D">
                      <w:rPr>
                        <w:rFonts w:ascii="Arial" w:eastAsia="Times New Roman" w:hAnsi="Arial" w:cs="Arial"/>
                        <w:color w:val="1C50A4"/>
                        <w:sz w:val="18"/>
                        <w:szCs w:val="18"/>
                      </w:rPr>
                      <w:t>Перевести документацию на другой язык</w:t>
                    </w:r>
                  </w:hyperlink>
                </w:p>
              </w:tc>
            </w:tr>
            <w:tr w:rsidR="00773F2D" w:rsidRPr="00773F2D">
              <w:trPr>
                <w:tblCellSpacing w:w="0" w:type="dxa"/>
              </w:trPr>
              <w:tc>
                <w:tcPr>
                  <w:tcW w:w="0" w:type="auto"/>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Порядок предоставления конкурсной документации:</w:t>
                  </w:r>
                </w:p>
              </w:tc>
              <w:tc>
                <w:tcPr>
                  <w:tcW w:w="0" w:type="auto"/>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773F2D">
                    <w:rPr>
                      <w:rFonts w:ascii="Arial" w:eastAsia="Times New Roman" w:hAnsi="Arial" w:cs="Arial"/>
                      <w:sz w:val="18"/>
                      <w:szCs w:val="18"/>
                    </w:rPr>
                    <w:t>с даты размещения</w:t>
                  </w:r>
                  <w:proofErr w:type="gramEnd"/>
                  <w:r w:rsidRPr="00773F2D">
                    <w:rPr>
                      <w:rFonts w:ascii="Arial" w:eastAsia="Times New Roman" w:hAnsi="Arial" w:cs="Arial"/>
                      <w:sz w:val="18"/>
                      <w:szCs w:val="18"/>
                    </w:rPr>
                    <w:t xml:space="preserve"> закупки.</w:t>
                  </w:r>
                </w:p>
              </w:tc>
            </w:tr>
            <w:tr w:rsidR="00773F2D" w:rsidRPr="00773F2D">
              <w:trPr>
                <w:tblCellSpacing w:w="0" w:type="dxa"/>
              </w:trPr>
              <w:tc>
                <w:tcPr>
                  <w:tcW w:w="0" w:type="auto"/>
                  <w:shd w:val="clear" w:color="auto" w:fill="F7F7F7"/>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Финансовое обеспечение Конкурсных заявок на участие в открытом конкурсе в размере 10 % от стоимости заявки Участника с учетом налогов. Обязательства, связанные с неустойкой, прописываются в письме о подаче оферты (форма 1) в составе Предложения и имеют силу письменного соглашения о неустойке.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 не соответствующих вышеизложенным требованиям, может являться основанием для отклонения заявки Участника.</w:t>
                  </w:r>
                </w:p>
              </w:tc>
            </w:tr>
            <w:tr w:rsidR="00773F2D" w:rsidRPr="00773F2D">
              <w:trPr>
                <w:tblCellSpacing w:w="0" w:type="dxa"/>
              </w:trPr>
              <w:tc>
                <w:tcPr>
                  <w:tcW w:w="0" w:type="auto"/>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Конкурсные заявки:</w:t>
                  </w:r>
                </w:p>
              </w:tc>
              <w:tc>
                <w:tcPr>
                  <w:tcW w:w="0" w:type="auto"/>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773F2D">
                    <w:rPr>
                      <w:rFonts w:ascii="Arial" w:eastAsia="Times New Roman" w:hAnsi="Arial" w:cs="Arial"/>
                      <w:sz w:val="18"/>
                      <w:szCs w:val="18"/>
                    </w:rPr>
                    <w:t>дств в д</w:t>
                  </w:r>
                  <w:proofErr w:type="gramEnd"/>
                  <w:r w:rsidRPr="00773F2D">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73F2D" w:rsidRPr="00773F2D">
              <w:trPr>
                <w:tblCellSpacing w:w="0" w:type="dxa"/>
              </w:trPr>
              <w:tc>
                <w:tcPr>
                  <w:tcW w:w="0" w:type="auto"/>
                  <w:shd w:val="clear" w:color="auto" w:fill="F7F7F7"/>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При выборе победителя учитывается:</w:t>
                  </w:r>
                </w:p>
              </w:tc>
              <w:tc>
                <w:tcPr>
                  <w:tcW w:w="0" w:type="auto"/>
                  <w:shd w:val="clear" w:color="auto" w:fill="F7F7F7"/>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Цена с НДС</w:t>
                  </w:r>
                </w:p>
              </w:tc>
            </w:tr>
            <w:tr w:rsidR="00773F2D" w:rsidRPr="00773F2D">
              <w:trPr>
                <w:tblCellSpacing w:w="0" w:type="dxa"/>
              </w:trPr>
              <w:tc>
                <w:tcPr>
                  <w:tcW w:w="0" w:type="auto"/>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Открытие торгов (вскрытие конвертов с конкурсными заявками):</w:t>
                  </w:r>
                </w:p>
              </w:tc>
              <w:tc>
                <w:tcPr>
                  <w:tcW w:w="0" w:type="auto"/>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w:t>
                  </w:r>
                  <w:proofErr w:type="spellStart"/>
                  <w:r w:rsidRPr="00773F2D">
                    <w:rPr>
                      <w:rFonts w:ascii="Arial" w:eastAsia="Times New Roman" w:hAnsi="Arial" w:cs="Arial"/>
                      <w:sz w:val="18"/>
                      <w:szCs w:val="18"/>
                    </w:rPr>
                    <w:t>ХМАО-Югра</w:t>
                  </w:r>
                  <w:proofErr w:type="spellEnd"/>
                  <w:r w:rsidRPr="00773F2D">
                    <w:rPr>
                      <w:rFonts w:ascii="Arial" w:eastAsia="Times New Roman" w:hAnsi="Arial" w:cs="Arial"/>
                      <w:sz w:val="18"/>
                      <w:szCs w:val="18"/>
                    </w:rPr>
                    <w:t>, г. Сургут, ул. Университетская, 4 кабинет № 526.</w:t>
                  </w:r>
                </w:p>
              </w:tc>
            </w:tr>
            <w:tr w:rsidR="00773F2D" w:rsidRPr="00773F2D">
              <w:trPr>
                <w:tblCellSpacing w:w="0" w:type="dxa"/>
              </w:trPr>
              <w:tc>
                <w:tcPr>
                  <w:tcW w:w="0" w:type="auto"/>
                  <w:shd w:val="clear" w:color="auto" w:fill="F7F7F7"/>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 xml:space="preserve">Вскрытие конвертов с заявками состоится </w:t>
                  </w:r>
                  <w:r w:rsidRPr="00773F2D">
                    <w:rPr>
                      <w:rFonts w:ascii="Arial" w:eastAsia="Times New Roman" w:hAnsi="Arial" w:cs="Arial"/>
                      <w:b/>
                      <w:bCs/>
                      <w:sz w:val="18"/>
                      <w:szCs w:val="18"/>
                    </w:rPr>
                    <w:t>30.07.2012 в 8:00 по московскому времени</w:t>
                  </w:r>
                  <w:r w:rsidRPr="00773F2D">
                    <w:rPr>
                      <w:rFonts w:ascii="Arial" w:eastAsia="Times New Roman" w:hAnsi="Arial" w:cs="Arial"/>
                      <w:sz w:val="18"/>
                      <w:szCs w:val="18"/>
                    </w:rPr>
                    <w:t>.</w:t>
                  </w:r>
                </w:p>
              </w:tc>
            </w:tr>
            <w:tr w:rsidR="00773F2D" w:rsidRPr="00773F2D">
              <w:trPr>
                <w:tblCellSpacing w:w="0" w:type="dxa"/>
              </w:trPr>
              <w:tc>
                <w:tcPr>
                  <w:tcW w:w="0" w:type="auto"/>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Дата рассмотрения предложений и подведения итогов закупки:</w:t>
                  </w:r>
                </w:p>
              </w:tc>
              <w:tc>
                <w:tcPr>
                  <w:tcW w:w="0" w:type="auto"/>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27.08.2012</w:t>
                  </w:r>
                </w:p>
              </w:tc>
            </w:tr>
            <w:tr w:rsidR="00773F2D" w:rsidRPr="00773F2D">
              <w:trPr>
                <w:tblCellSpacing w:w="0" w:type="dxa"/>
              </w:trPr>
              <w:tc>
                <w:tcPr>
                  <w:tcW w:w="0" w:type="auto"/>
                  <w:shd w:val="clear" w:color="auto" w:fill="F7F7F7"/>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Место рассмотрения предложений:</w:t>
                  </w:r>
                </w:p>
              </w:tc>
              <w:tc>
                <w:tcPr>
                  <w:tcW w:w="0" w:type="auto"/>
                  <w:shd w:val="clear" w:color="auto" w:fill="F7F7F7"/>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 xml:space="preserve">628406, Россия, </w:t>
                  </w:r>
                  <w:proofErr w:type="gramStart"/>
                  <w:r w:rsidRPr="00773F2D">
                    <w:rPr>
                      <w:rFonts w:ascii="Arial" w:eastAsia="Times New Roman" w:hAnsi="Arial" w:cs="Arial"/>
                      <w:sz w:val="18"/>
                      <w:szCs w:val="18"/>
                    </w:rPr>
                    <w:t>г</w:t>
                  </w:r>
                  <w:proofErr w:type="gramEnd"/>
                  <w:r w:rsidRPr="00773F2D">
                    <w:rPr>
                      <w:rFonts w:ascii="Arial" w:eastAsia="Times New Roman" w:hAnsi="Arial" w:cs="Arial"/>
                      <w:sz w:val="18"/>
                      <w:szCs w:val="18"/>
                    </w:rPr>
                    <w:t xml:space="preserve">. Сургут, Тюменская область, </w:t>
                  </w:r>
                  <w:proofErr w:type="spellStart"/>
                  <w:r w:rsidRPr="00773F2D">
                    <w:rPr>
                      <w:rFonts w:ascii="Arial" w:eastAsia="Times New Roman" w:hAnsi="Arial" w:cs="Arial"/>
                      <w:sz w:val="18"/>
                      <w:szCs w:val="18"/>
                    </w:rPr>
                    <w:t>ХМАО-Югра</w:t>
                  </w:r>
                  <w:proofErr w:type="spellEnd"/>
                  <w:r w:rsidRPr="00773F2D">
                    <w:rPr>
                      <w:rFonts w:ascii="Arial" w:eastAsia="Times New Roman" w:hAnsi="Arial" w:cs="Arial"/>
                      <w:sz w:val="18"/>
                      <w:szCs w:val="18"/>
                    </w:rPr>
                    <w:t xml:space="preserve">, </w:t>
                  </w:r>
                  <w:r w:rsidRPr="00773F2D">
                    <w:rPr>
                      <w:rFonts w:ascii="Arial" w:eastAsia="Times New Roman" w:hAnsi="Arial" w:cs="Arial"/>
                      <w:sz w:val="18"/>
                      <w:szCs w:val="18"/>
                    </w:rPr>
                    <w:br/>
                    <w:t>ул. Университетская, д.4, каб.526</w:t>
                  </w:r>
                </w:p>
              </w:tc>
            </w:tr>
            <w:tr w:rsidR="00773F2D" w:rsidRPr="00773F2D">
              <w:trPr>
                <w:tblCellSpacing w:w="0" w:type="dxa"/>
              </w:trPr>
              <w:tc>
                <w:tcPr>
                  <w:tcW w:w="0" w:type="auto"/>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Победитель конкурса:</w:t>
                  </w:r>
                </w:p>
              </w:tc>
              <w:tc>
                <w:tcPr>
                  <w:tcW w:w="0" w:type="auto"/>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73F2D">
                    <w:rPr>
                      <w:rFonts w:ascii="Arial" w:eastAsia="Times New Roman" w:hAnsi="Arial" w:cs="Arial"/>
                      <w:sz w:val="18"/>
                      <w:szCs w:val="18"/>
                    </w:rPr>
                    <w:t>ранжировке</w:t>
                  </w:r>
                  <w:proofErr w:type="spellEnd"/>
                  <w:r w:rsidRPr="00773F2D">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773F2D">
                    <w:rPr>
                      <w:rFonts w:ascii="Arial" w:eastAsia="Times New Roman" w:hAnsi="Arial" w:cs="Arial"/>
                      <w:sz w:val="18"/>
                      <w:szCs w:val="18"/>
                    </w:rPr>
                    <w:lastRenderedPageBreak/>
                    <w:t>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73F2D" w:rsidRPr="00773F2D">
              <w:trPr>
                <w:tblCellSpacing w:w="0" w:type="dxa"/>
              </w:trPr>
              <w:tc>
                <w:tcPr>
                  <w:tcW w:w="0" w:type="auto"/>
                  <w:shd w:val="clear" w:color="auto" w:fill="F7F7F7"/>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lastRenderedPageBreak/>
                    <w:t>Лимитная (начальная) цена закупки:</w:t>
                  </w:r>
                </w:p>
              </w:tc>
              <w:tc>
                <w:tcPr>
                  <w:tcW w:w="0" w:type="auto"/>
                  <w:shd w:val="clear" w:color="auto" w:fill="F7F7F7"/>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67 930 484,80 руб. с НДС</w:t>
                  </w:r>
                </w:p>
              </w:tc>
            </w:tr>
            <w:tr w:rsidR="00773F2D" w:rsidRPr="00773F2D">
              <w:trPr>
                <w:tblCellSpacing w:w="0" w:type="dxa"/>
              </w:trPr>
              <w:tc>
                <w:tcPr>
                  <w:tcW w:w="0" w:type="auto"/>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Переторжка (регулирование цены):</w:t>
                  </w:r>
                </w:p>
              </w:tc>
              <w:tc>
                <w:tcPr>
                  <w:tcW w:w="0" w:type="auto"/>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773F2D" w:rsidRPr="00773F2D">
              <w:trPr>
                <w:tblCellSpacing w:w="0" w:type="dxa"/>
              </w:trPr>
              <w:tc>
                <w:tcPr>
                  <w:tcW w:w="0" w:type="auto"/>
                  <w:shd w:val="clear" w:color="auto" w:fill="F7F7F7"/>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Дополнительная информация о конкурсе:</w:t>
                  </w:r>
                </w:p>
              </w:tc>
              <w:tc>
                <w:tcPr>
                  <w:tcW w:w="0" w:type="auto"/>
                  <w:shd w:val="clear" w:color="auto" w:fill="F7F7F7"/>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73F2D">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«Технические требования».</w:t>
                  </w:r>
                  <w:r w:rsidRPr="00773F2D">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73F2D">
                    <w:rPr>
                      <w:rFonts w:ascii="Arial" w:eastAsia="Times New Roman" w:hAnsi="Arial" w:cs="Arial"/>
                      <w:sz w:val="18"/>
                      <w:szCs w:val="18"/>
                    </w:rPr>
                    <w:br/>
                    <w:t>Дата рассмотрения предложений – 17.08.2012.</w:t>
                  </w:r>
                  <w:r w:rsidRPr="00773F2D">
                    <w:rPr>
                      <w:rFonts w:ascii="Arial" w:eastAsia="Times New Roman" w:hAnsi="Arial" w:cs="Arial"/>
                      <w:sz w:val="18"/>
                      <w:szCs w:val="18"/>
                    </w:rPr>
                    <w:br/>
                    <w:t>Дата подведения итогов закупки – 27.08.2012.</w:t>
                  </w:r>
                </w:p>
              </w:tc>
            </w:tr>
            <w:tr w:rsidR="00773F2D" w:rsidRPr="00773F2D">
              <w:trPr>
                <w:tblCellSpacing w:w="0" w:type="dxa"/>
              </w:trPr>
              <w:tc>
                <w:tcPr>
                  <w:tcW w:w="0" w:type="auto"/>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773F2D" w:rsidRPr="00773F2D" w:rsidRDefault="00773F2D" w:rsidP="00773F2D">
                  <w:pPr>
                    <w:spacing w:after="0" w:line="240" w:lineRule="auto"/>
                    <w:rPr>
                      <w:rFonts w:ascii="Arial" w:eastAsia="Times New Roman" w:hAnsi="Arial" w:cs="Arial"/>
                      <w:sz w:val="18"/>
                      <w:szCs w:val="18"/>
                    </w:rPr>
                  </w:pPr>
                  <w:hyperlink w:history="1">
                    <w:proofErr w:type="gramStart"/>
                    <w:r w:rsidRPr="00773F2D">
                      <w:rPr>
                        <w:rFonts w:ascii="Arial" w:eastAsia="Times New Roman" w:hAnsi="Arial" w:cs="Arial"/>
                        <w:color w:val="1C50A4"/>
                        <w:sz w:val="18"/>
                        <w:szCs w:val="18"/>
                      </w:rPr>
                      <w:t xml:space="preserve">628406, Россия, г. Сургут, Тюменская область, </w:t>
                    </w:r>
                    <w:proofErr w:type="spellStart"/>
                    <w:r w:rsidRPr="00773F2D">
                      <w:rPr>
                        <w:rFonts w:ascii="Arial" w:eastAsia="Times New Roman" w:hAnsi="Arial" w:cs="Arial"/>
                        <w:color w:val="1C50A4"/>
                        <w:sz w:val="18"/>
                        <w:szCs w:val="18"/>
                      </w:rPr>
                      <w:t>ХМАО-Югра</w:t>
                    </w:r>
                    <w:proofErr w:type="spellEnd"/>
                    <w:r w:rsidRPr="00773F2D">
                      <w:rPr>
                        <w:rFonts w:ascii="Arial" w:eastAsia="Times New Roman" w:hAnsi="Arial" w:cs="Arial"/>
                        <w:color w:val="1C50A4"/>
                        <w:sz w:val="18"/>
                        <w:szCs w:val="18"/>
                      </w:rPr>
                      <w:t>, ул. Университетская, д.4</w:t>
                    </w:r>
                  </w:hyperlink>
                  <w:r w:rsidRPr="00773F2D">
                    <w:rPr>
                      <w:rFonts w:ascii="Arial" w:eastAsia="Times New Roman" w:hAnsi="Arial" w:cs="Arial"/>
                      <w:sz w:val="18"/>
                      <w:szCs w:val="18"/>
                    </w:rPr>
                    <w:t xml:space="preserve"> </w:t>
                  </w:r>
                  <w:r w:rsidRPr="00773F2D">
                    <w:rPr>
                      <w:rFonts w:ascii="Arial" w:eastAsia="Times New Roman" w:hAnsi="Arial" w:cs="Arial"/>
                      <w:sz w:val="18"/>
                      <w:szCs w:val="18"/>
                    </w:rPr>
                    <w:pict/>
                  </w:r>
                  <w:proofErr w:type="gramEnd"/>
                </w:p>
              </w:tc>
            </w:tr>
            <w:tr w:rsidR="00773F2D" w:rsidRPr="00773F2D">
              <w:trPr>
                <w:tblCellSpacing w:w="0" w:type="dxa"/>
              </w:trPr>
              <w:tc>
                <w:tcPr>
                  <w:tcW w:w="0" w:type="auto"/>
                  <w:shd w:val="clear" w:color="auto" w:fill="F7F7F7"/>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Дата последнего редактирования:</w:t>
                  </w:r>
                </w:p>
              </w:tc>
              <w:tc>
                <w:tcPr>
                  <w:tcW w:w="0" w:type="auto"/>
                  <w:shd w:val="clear" w:color="auto" w:fill="F7F7F7"/>
                  <w:hideMark/>
                </w:tcPr>
                <w:p w:rsidR="00773F2D" w:rsidRPr="00773F2D" w:rsidRDefault="00773F2D" w:rsidP="00773F2D">
                  <w:pPr>
                    <w:spacing w:after="0" w:line="240" w:lineRule="auto"/>
                    <w:rPr>
                      <w:rFonts w:ascii="Arial" w:eastAsia="Times New Roman" w:hAnsi="Arial" w:cs="Arial"/>
                      <w:sz w:val="18"/>
                      <w:szCs w:val="18"/>
                    </w:rPr>
                  </w:pPr>
                  <w:r w:rsidRPr="00773F2D">
                    <w:rPr>
                      <w:rFonts w:ascii="Arial" w:eastAsia="Times New Roman" w:hAnsi="Arial" w:cs="Arial"/>
                      <w:sz w:val="18"/>
                      <w:szCs w:val="18"/>
                    </w:rPr>
                    <w:t xml:space="preserve">29.06.2012 13:18, </w:t>
                  </w:r>
                  <w:hyperlink r:id="rId13" w:tgtFrame="_blank" w:tooltip="Отправить личное сообщение" w:history="1">
                    <w:r w:rsidRPr="00773F2D">
                      <w:rPr>
                        <w:rFonts w:ascii="Arial" w:eastAsia="Times New Roman" w:hAnsi="Arial" w:cs="Arial"/>
                        <w:color w:val="1C50A4"/>
                        <w:sz w:val="18"/>
                        <w:szCs w:val="18"/>
                      </w:rPr>
                      <w:t>Меженина Наталья Михайловна</w:t>
                    </w:r>
                  </w:hyperlink>
                </w:p>
              </w:tc>
            </w:tr>
            <w:tr w:rsidR="00773F2D" w:rsidRPr="00773F2D">
              <w:trPr>
                <w:tblCellSpacing w:w="0" w:type="dxa"/>
              </w:trPr>
              <w:tc>
                <w:tcPr>
                  <w:tcW w:w="0" w:type="auto"/>
                  <w:hideMark/>
                </w:tcPr>
                <w:p w:rsidR="00773F2D" w:rsidRPr="00773F2D" w:rsidRDefault="00773F2D" w:rsidP="00773F2D">
                  <w:pPr>
                    <w:spacing w:after="0" w:line="240" w:lineRule="auto"/>
                    <w:jc w:val="right"/>
                    <w:rPr>
                      <w:rFonts w:ascii="Arial" w:eastAsia="Times New Roman" w:hAnsi="Arial" w:cs="Arial"/>
                      <w:sz w:val="18"/>
                      <w:szCs w:val="18"/>
                    </w:rPr>
                  </w:pPr>
                  <w:r w:rsidRPr="00773F2D">
                    <w:rPr>
                      <w:rFonts w:ascii="Arial" w:eastAsia="Times New Roman" w:hAnsi="Arial" w:cs="Arial"/>
                      <w:sz w:val="18"/>
                      <w:szCs w:val="18"/>
                    </w:rPr>
                    <w:t>Информация о подписи:</w:t>
                  </w:r>
                </w:p>
              </w:tc>
              <w:tc>
                <w:tcPr>
                  <w:tcW w:w="0" w:type="auto"/>
                  <w:hideMark/>
                </w:tcPr>
                <w:p w:rsidR="00773F2D" w:rsidRPr="00773F2D" w:rsidRDefault="00773F2D" w:rsidP="00773F2D">
                  <w:pPr>
                    <w:spacing w:after="0" w:line="240" w:lineRule="auto"/>
                    <w:rPr>
                      <w:rFonts w:ascii="Arial" w:eastAsia="Times New Roman" w:hAnsi="Arial" w:cs="Arial"/>
                      <w:sz w:val="18"/>
                      <w:szCs w:val="18"/>
                    </w:rPr>
                  </w:pPr>
                  <w:hyperlink r:id="rId14" w:tgtFrame="signature" w:history="1">
                    <w:r w:rsidRPr="00773F2D">
                      <w:rPr>
                        <w:rFonts w:ascii="Arial" w:eastAsia="Times New Roman" w:hAnsi="Arial" w:cs="Arial"/>
                        <w:color w:val="1C50A4"/>
                        <w:sz w:val="18"/>
                        <w:szCs w:val="18"/>
                      </w:rPr>
                      <w:t>Подписано ЭЦП</w:t>
                    </w:r>
                  </w:hyperlink>
                </w:p>
              </w:tc>
            </w:tr>
          </w:tbl>
          <w:p w:rsidR="00773F2D" w:rsidRPr="00773F2D" w:rsidRDefault="00773F2D" w:rsidP="00773F2D">
            <w:pPr>
              <w:spacing w:after="0" w:line="240" w:lineRule="auto"/>
              <w:rPr>
                <w:rFonts w:ascii="Arial" w:eastAsia="Times New Roman" w:hAnsi="Arial" w:cs="Arial"/>
                <w:sz w:val="18"/>
                <w:szCs w:val="18"/>
              </w:rPr>
            </w:pPr>
          </w:p>
        </w:tc>
      </w:tr>
    </w:tbl>
    <w:p w:rsidR="00000000" w:rsidRDefault="00773F2D"/>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3F2D"/>
    <w:rsid w:val="00773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773F2D"/>
  </w:style>
</w:styles>
</file>

<file path=word/webSettings.xml><?xml version="1.0" encoding="utf-8"?>
<w:webSettings xmlns:r="http://schemas.openxmlformats.org/officeDocument/2006/relationships" xmlns:w="http://schemas.openxmlformats.org/wordprocessingml/2006/main">
  <w:divs>
    <w:div w:id="1541749280">
      <w:bodyDiv w:val="1"/>
      <w:marLeft w:val="0"/>
      <w:marRight w:val="0"/>
      <w:marTop w:val="0"/>
      <w:marBottom w:val="0"/>
      <w:divBdr>
        <w:top w:val="none" w:sz="0" w:space="0" w:color="auto"/>
        <w:left w:val="none" w:sz="0" w:space="0" w:color="auto"/>
        <w:bottom w:val="none" w:sz="0" w:space="0" w:color="auto"/>
        <w:right w:val="none" w:sz="0" w:space="0" w:color="auto"/>
      </w:divBdr>
      <w:divsChild>
        <w:div w:id="1717505277">
          <w:marLeft w:val="0"/>
          <w:marRight w:val="0"/>
          <w:marTop w:val="0"/>
          <w:marBottom w:val="0"/>
          <w:divBdr>
            <w:top w:val="none" w:sz="0" w:space="0" w:color="auto"/>
            <w:left w:val="none" w:sz="0" w:space="0" w:color="auto"/>
            <w:bottom w:val="none" w:sz="0" w:space="0" w:color="auto"/>
            <w:right w:val="none" w:sz="0" w:space="0" w:color="auto"/>
          </w:divBdr>
        </w:div>
        <w:div w:id="1507288332">
          <w:marLeft w:val="0"/>
          <w:marRight w:val="0"/>
          <w:marTop w:val="0"/>
          <w:marBottom w:val="0"/>
          <w:divBdr>
            <w:top w:val="none" w:sz="0" w:space="0" w:color="auto"/>
            <w:left w:val="none" w:sz="0" w:space="0" w:color="auto"/>
            <w:bottom w:val="none" w:sz="0" w:space="0" w:color="auto"/>
            <w:right w:val="none" w:sz="0" w:space="0" w:color="auto"/>
          </w:divBdr>
        </w:div>
        <w:div w:id="803886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sovaN@id.te.ru" TargetMode="External"/><Relationship Id="rId13"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38965&amp;subject=%D0%92%D0%BE%D0%BF%D1%80%D0%BE%D1%81+%D0%BF%D0%BE+%D0%BA%D0%BE%D0%BD%D0%BA%D1%83%D1%80%D1%81%D1%83+%E2%84%96+30965" TargetMode="External"/><Relationship Id="rId12"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all=0&amp;cat_id=117244010&amp;open=1" TargetMode="External"/><Relationship Id="rId11" Type="http://schemas.openxmlformats.org/officeDocument/2006/relationships/hyperlink" Target="http://www.b2b-mrsk.ru/market/view_tender.html?id=30965&amp;action=signed_doc&amp;key=docs" TargetMode="External"/><Relationship Id="rId5" Type="http://schemas.openxmlformats.org/officeDocument/2006/relationships/hyperlink" Target="http://www.b2b-mrsk.ru/market/list_tenders.html?all=0&amp;cat_id=117241000&amp;open=1" TargetMode="External"/><Relationship Id="rId15" Type="http://schemas.openxmlformats.org/officeDocument/2006/relationships/fontTable" Target="fontTable.xml"/><Relationship Id="rId10" Type="http://schemas.openxmlformats.org/officeDocument/2006/relationships/hyperlink" Target="http://www.b2b-mrsk.ru/market/edit_tender.html?id=30965&amp;action=docs" TargetMode="External"/><Relationship Id="rId4" Type="http://schemas.openxmlformats.org/officeDocument/2006/relationships/hyperlink" Target="http://www.b2b-mrsk.ru/market/list_tenders.html?all=0&amp;cat_id=43313561&amp;open=1" TargetMode="External"/><Relationship Id="rId9" Type="http://schemas.openxmlformats.org/officeDocument/2006/relationships/hyperlink" Target="http://www.b2b-mrsk.ru/download.html?file=file%2F3021739.zip&amp;title=%D0%9E%D0%9A+30965+%D0%90%D0%A1%D0%A3+%D0%A4%D0%A5%D0%94.zip" TargetMode="External"/><Relationship Id="rId14" Type="http://schemas.openxmlformats.org/officeDocument/2006/relationships/hyperlink" Target="http://www.b2b-mrsk.ru/market/view_tender.html?id=30965&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1550</Words>
  <Characters>8840</Characters>
  <Application>Microsoft Office Word</Application>
  <DocSecurity>0</DocSecurity>
  <Lines>73</Lines>
  <Paragraphs>20</Paragraphs>
  <ScaleCrop>false</ScaleCrop>
  <Company>OAO TE</Company>
  <LinksUpToDate>false</LinksUpToDate>
  <CharactersWithSpaces>10370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2012-06-29T10:02:00Z</dcterms:created>
  <dcterms:modified xsi:type="dcterms:W3CDTF">2012-06-29T10:03:00Z</dcterms:modified>
</cp:coreProperties>
</file>