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4D" w:rsidRDefault="004F6D48" w:rsidP="004F6D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48">
        <w:rPr>
          <w:rFonts w:ascii="Times New Roman" w:hAnsi="Times New Roman" w:cs="Times New Roman"/>
          <w:sz w:val="24"/>
          <w:szCs w:val="24"/>
        </w:rPr>
        <w:t>Разъяснение по запросу ООО «Электропривод», поданно</w:t>
      </w:r>
      <w:r w:rsidR="00E26403">
        <w:rPr>
          <w:rFonts w:ascii="Times New Roman" w:hAnsi="Times New Roman" w:cs="Times New Roman"/>
          <w:sz w:val="24"/>
          <w:szCs w:val="24"/>
        </w:rPr>
        <w:t>му</w:t>
      </w:r>
      <w:r w:rsidRPr="004F6D48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4F6D48">
        <w:rPr>
          <w:rFonts w:ascii="Times New Roman" w:hAnsi="Times New Roman" w:cs="Times New Roman"/>
          <w:b/>
          <w:sz w:val="24"/>
          <w:szCs w:val="24"/>
        </w:rPr>
        <w:t>Открыт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4F6D48">
        <w:rPr>
          <w:rFonts w:ascii="Times New Roman" w:hAnsi="Times New Roman" w:cs="Times New Roman"/>
          <w:b/>
          <w:sz w:val="24"/>
          <w:szCs w:val="24"/>
        </w:rPr>
        <w:t xml:space="preserve"> одноэтапн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4F6D48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F6D48">
        <w:rPr>
          <w:rFonts w:ascii="Times New Roman" w:hAnsi="Times New Roman" w:cs="Times New Roman"/>
          <w:b/>
          <w:sz w:val="24"/>
          <w:szCs w:val="24"/>
        </w:rPr>
        <w:t xml:space="preserve"> без предварительного отбора на право заключения Договора на выполнение работ по капитальному ремонту трансформаторов Тюменского и Тобольского ТПО для филиала ОАО «</w:t>
      </w:r>
      <w:proofErr w:type="spellStart"/>
      <w:r w:rsidRPr="004F6D48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4F6D4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D4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D48">
        <w:rPr>
          <w:rFonts w:ascii="Times New Roman" w:hAnsi="Times New Roman" w:cs="Times New Roman"/>
          <w:b/>
          <w:sz w:val="24"/>
          <w:szCs w:val="24"/>
        </w:rPr>
        <w:t>«Тюменские распределительные сети»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49C8" w:rsidRDefault="009D49C8" w:rsidP="004F6D48">
      <w:pPr>
        <w:jc w:val="both"/>
        <w:rPr>
          <w:rFonts w:cs="Tms Rmn"/>
          <w:b/>
          <w:i/>
          <w:color w:val="000000"/>
          <w:sz w:val="24"/>
          <w:szCs w:val="24"/>
        </w:rPr>
      </w:pPr>
      <w:r w:rsidRPr="009D49C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D49C8">
        <w:rPr>
          <w:rFonts w:ascii="Tms Rmn" w:hAnsi="Tms Rmn" w:cs="Tms Rmn"/>
          <w:b/>
          <w:i/>
          <w:color w:val="000000"/>
          <w:sz w:val="24"/>
          <w:szCs w:val="24"/>
        </w:rPr>
        <w:t>Является ли обязательным условием для участника конкурса исполнение п. 33.6.11. "Информационной карты конкурса"? Ведь данный пункт 33. "Требований к выдаче свидетельств о допуске к работам, которые оказывают влияние на безопасность объектов капитального строительства" распространяется на "Работы по организации строительства, реконструкции и капитального ремонта привлекаемым ЗАСТРОЙЩИКОМ или ЗАКАЗЧИКОМ..." Исходя же из "Приложения № 2 к КД (ДП)" компания-победитель конкурса - всего лишь ПОДРЯДЧИК. Разъясните пожалуйста</w:t>
      </w:r>
      <w:r w:rsidRPr="009D49C8">
        <w:rPr>
          <w:rFonts w:cs="Tms Rmn"/>
          <w:b/>
          <w:i/>
          <w:color w:val="000000"/>
          <w:sz w:val="24"/>
          <w:szCs w:val="24"/>
        </w:rPr>
        <w:t>».</w:t>
      </w:r>
    </w:p>
    <w:p w:rsidR="0030681B" w:rsidRDefault="007974F3" w:rsidP="00797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20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карты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(КД), предусмотрена возможность привлечения Участником конкурса для выполнения работ субподрядных организаций, а положениями Технического(ких) задания</w:t>
      </w:r>
      <w:r w:rsidR="00BC522D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(ТЗ) – Приложение № 1 к КД и условиями Проекта договора подряда – Приложение № 2 к КД  на Участника  закупки (Подрядчика – в случае признания Участника закупки победителем конкурса), </w:t>
      </w:r>
      <w:r w:rsidR="0030681B">
        <w:rPr>
          <w:rFonts w:ascii="Times New Roman" w:hAnsi="Times New Roman" w:cs="Times New Roman"/>
          <w:sz w:val="24"/>
          <w:szCs w:val="24"/>
        </w:rPr>
        <w:t xml:space="preserve">помимо обязательств выполнения отдельных видов работ по капитальному ремонту объектов капитального строительства Заказчика, </w:t>
      </w:r>
      <w:r>
        <w:rPr>
          <w:rFonts w:ascii="Times New Roman" w:hAnsi="Times New Roman" w:cs="Times New Roman"/>
          <w:sz w:val="24"/>
          <w:szCs w:val="24"/>
        </w:rPr>
        <w:t xml:space="preserve">возлагаются обязательства по </w:t>
      </w:r>
      <w:r w:rsidRPr="0030681B">
        <w:rPr>
          <w:rFonts w:ascii="Times New Roman" w:hAnsi="Times New Roman" w:cs="Times New Roman"/>
          <w:b/>
          <w:sz w:val="24"/>
          <w:szCs w:val="24"/>
        </w:rPr>
        <w:t>организации капитального ремонта объектов</w:t>
      </w:r>
      <w:r>
        <w:rPr>
          <w:rFonts w:ascii="Times New Roman" w:hAnsi="Times New Roman" w:cs="Times New Roman"/>
          <w:sz w:val="24"/>
          <w:szCs w:val="24"/>
        </w:rPr>
        <w:t xml:space="preserve"> Заказчика, указанных в ТЗ</w:t>
      </w:r>
      <w:r w:rsidR="00BC522D">
        <w:rPr>
          <w:rFonts w:ascii="Times New Roman" w:hAnsi="Times New Roman" w:cs="Times New Roman"/>
          <w:sz w:val="24"/>
          <w:szCs w:val="24"/>
        </w:rPr>
        <w:t xml:space="preserve">, с осуществлением следующих функций: </w:t>
      </w:r>
      <w:r>
        <w:rPr>
          <w:rFonts w:ascii="Times New Roman" w:hAnsi="Times New Roman" w:cs="Times New Roman"/>
          <w:sz w:val="24"/>
          <w:szCs w:val="24"/>
        </w:rPr>
        <w:t>координация собственного персонала и персонала субподрядных организаций при проведении работ, согласование порядка проведения работ как с Заказчиком так и с иными лицами, обеспечение безопасного ведения работ и контроль исполнения требований техники безопасности собственным персоналом и персоналом привлеченной субподрядной организации</w:t>
      </w:r>
      <w:r w:rsidR="00BC52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4F3" w:rsidRDefault="00BC522D" w:rsidP="0030681B">
      <w:pPr>
        <w:spacing w:after="0" w:line="240" w:lineRule="auto"/>
        <w:ind w:firstLine="709"/>
        <w:jc w:val="both"/>
        <w:rPr>
          <w:rFonts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Участник  закупки (Подрядчик – в случае признания Участника закупки победителем конкурса)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81B">
        <w:rPr>
          <w:rFonts w:ascii="Times New Roman" w:hAnsi="Times New Roman" w:cs="Times New Roman"/>
          <w:sz w:val="24"/>
          <w:szCs w:val="24"/>
        </w:rPr>
        <w:t xml:space="preserve">в рамках проводимой закупочной процедуры, осуществляет функции (выполняет работы) по организации капитального ремонта объекта капитального строительства, а в случае привлечения к выполнению </w:t>
      </w:r>
      <w:r w:rsidR="0030681B">
        <w:rPr>
          <w:rFonts w:ascii="Times New Roman" w:hAnsi="Times New Roman" w:cs="Times New Roman"/>
          <w:sz w:val="24"/>
          <w:szCs w:val="24"/>
        </w:rPr>
        <w:t>отдельных видов работ по капитальному ремонту объектов капитального строительства Заказчика</w:t>
      </w:r>
      <w:r w:rsidR="0030681B">
        <w:rPr>
          <w:rFonts w:ascii="Times New Roman" w:hAnsi="Times New Roman" w:cs="Times New Roman"/>
          <w:sz w:val="24"/>
          <w:szCs w:val="24"/>
        </w:rPr>
        <w:t xml:space="preserve"> субподрядной организации, также выполняет функции генерального подрядчика.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4F3" w:rsidRPr="007974F3" w:rsidRDefault="007974F3" w:rsidP="0030681B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9D49C8" w:rsidRDefault="009D49C8" w:rsidP="0030681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3 ст. 52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(Градостроительный кодекс Российской Федерации" от 29.12.2004 N 190-ФЗ (ред. от </w:t>
      </w:r>
      <w:r w:rsidR="0035561C">
        <w:rPr>
          <w:rFonts w:ascii="Times New Roman" w:hAnsi="Times New Roman" w:cs="Times New Roman"/>
          <w:sz w:val="24"/>
          <w:szCs w:val="24"/>
        </w:rPr>
        <w:t>28.12.2013 г.</w:t>
      </w:r>
      <w:r>
        <w:rPr>
          <w:rFonts w:ascii="Times New Roman" w:hAnsi="Times New Roman" w:cs="Times New Roman"/>
          <w:sz w:val="24"/>
          <w:szCs w:val="24"/>
        </w:rPr>
        <w:t>), «</w:t>
      </w:r>
      <w:r w:rsidRPr="000331B7">
        <w:rPr>
          <w:rFonts w:ascii="Times New Roman" w:hAnsi="Times New Roman" w:cs="Times New Roman"/>
          <w:b/>
          <w:sz w:val="24"/>
          <w:szCs w:val="24"/>
        </w:rPr>
        <w:t>Лицом,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строительство, </w:t>
      </w:r>
      <w:r w:rsidRPr="009D49C8">
        <w:rPr>
          <w:rFonts w:ascii="Times New Roman" w:hAnsi="Times New Roman" w:cs="Times New Roman"/>
          <w:sz w:val="24"/>
          <w:szCs w:val="24"/>
        </w:rPr>
        <w:t>реконструкцию,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9C8">
        <w:rPr>
          <w:rFonts w:ascii="Times New Roman" w:hAnsi="Times New Roman" w:cs="Times New Roman"/>
          <w:b/>
          <w:sz w:val="24"/>
          <w:szCs w:val="24"/>
        </w:rPr>
        <w:t>капитальный ремонт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B7">
        <w:rPr>
          <w:rFonts w:ascii="Times New Roman" w:hAnsi="Times New Roman" w:cs="Times New Roman"/>
          <w:b/>
          <w:sz w:val="24"/>
          <w:szCs w:val="24"/>
        </w:rPr>
        <w:t>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- лицо, осуществляющее строительство), </w:t>
      </w:r>
      <w:r w:rsidRPr="000331B7">
        <w:rPr>
          <w:rFonts w:ascii="Times New Roman" w:hAnsi="Times New Roman" w:cs="Times New Roman"/>
          <w:b/>
          <w:sz w:val="24"/>
          <w:szCs w:val="24"/>
        </w:rPr>
        <w:t>может являться</w:t>
      </w:r>
      <w:r>
        <w:rPr>
          <w:rFonts w:ascii="Times New Roman" w:hAnsi="Times New Roman" w:cs="Times New Roman"/>
          <w:sz w:val="24"/>
          <w:szCs w:val="24"/>
        </w:rPr>
        <w:t xml:space="preserve"> застройщик либо </w:t>
      </w:r>
      <w:r w:rsidRPr="00DC571B">
        <w:rPr>
          <w:rFonts w:ascii="Times New Roman" w:hAnsi="Times New Roman" w:cs="Times New Roman"/>
          <w:b/>
          <w:sz w:val="24"/>
          <w:szCs w:val="24"/>
        </w:rPr>
        <w:t>привлекаемое застройщиком</w:t>
      </w:r>
      <w:r>
        <w:rPr>
          <w:rFonts w:ascii="Times New Roman" w:hAnsi="Times New Roman" w:cs="Times New Roman"/>
          <w:sz w:val="24"/>
          <w:szCs w:val="24"/>
        </w:rPr>
        <w:t xml:space="preserve"> или техническим заказчиком </w:t>
      </w:r>
      <w:r w:rsidRPr="00DC571B">
        <w:rPr>
          <w:rFonts w:ascii="Times New Roman" w:hAnsi="Times New Roman" w:cs="Times New Roman"/>
          <w:b/>
          <w:sz w:val="24"/>
          <w:szCs w:val="24"/>
        </w:rPr>
        <w:t>на основании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физическое или </w:t>
      </w:r>
      <w:r w:rsidRPr="00DC571B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DC5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0331B7">
        <w:rPr>
          <w:rFonts w:ascii="Times New Roman" w:hAnsi="Times New Roman" w:cs="Times New Roman"/>
          <w:b/>
          <w:sz w:val="24"/>
          <w:szCs w:val="24"/>
        </w:rPr>
        <w:t>Лицо, осуществляющее строительство,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B7">
        <w:rPr>
          <w:rFonts w:ascii="Times New Roman" w:hAnsi="Times New Roman" w:cs="Times New Roman"/>
          <w:b/>
          <w:sz w:val="24"/>
          <w:szCs w:val="24"/>
        </w:rPr>
        <w:t>вправе выполнять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определенные </w:t>
      </w:r>
      <w:r w:rsidRPr="000331B7">
        <w:rPr>
          <w:rFonts w:ascii="Times New Roman" w:hAnsi="Times New Roman" w:cs="Times New Roman"/>
          <w:b/>
          <w:sz w:val="24"/>
          <w:szCs w:val="24"/>
        </w:rPr>
        <w:t>виды работ по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строительству, </w:t>
      </w:r>
      <w:r w:rsidRPr="009D49C8">
        <w:rPr>
          <w:rFonts w:ascii="Times New Roman" w:hAnsi="Times New Roman" w:cs="Times New Roman"/>
          <w:sz w:val="24"/>
          <w:szCs w:val="24"/>
        </w:rPr>
        <w:t>реконструкции,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9C8">
        <w:rPr>
          <w:rFonts w:ascii="Times New Roman" w:hAnsi="Times New Roman" w:cs="Times New Roman"/>
          <w:b/>
          <w:sz w:val="24"/>
          <w:szCs w:val="24"/>
        </w:rPr>
        <w:t>капитальному ремонту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B7">
        <w:rPr>
          <w:rFonts w:ascii="Times New Roman" w:hAnsi="Times New Roman" w:cs="Times New Roman"/>
          <w:b/>
          <w:sz w:val="24"/>
          <w:szCs w:val="24"/>
        </w:rPr>
        <w:t>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Pr="00561FD3">
        <w:rPr>
          <w:rFonts w:ascii="Times New Roman" w:hAnsi="Times New Roman" w:cs="Times New Roman"/>
          <w:sz w:val="24"/>
          <w:szCs w:val="24"/>
        </w:rPr>
        <w:t xml:space="preserve">при условии соответствия такого лица требованиям, предусмотренным </w:t>
      </w:r>
      <w:hyperlink r:id="rId6" w:history="1">
        <w:r w:rsidRPr="00561FD3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561FD3">
        <w:rPr>
          <w:rFonts w:ascii="Times New Roman" w:hAnsi="Times New Roman" w:cs="Times New Roman"/>
          <w:sz w:val="24"/>
          <w:szCs w:val="24"/>
        </w:rPr>
        <w:t xml:space="preserve"> настоящей статьи, и (или)</w:t>
      </w:r>
      <w:r w:rsidRPr="000331B7">
        <w:rPr>
          <w:rFonts w:ascii="Times New Roman" w:hAnsi="Times New Roman" w:cs="Times New Roman"/>
          <w:b/>
          <w:sz w:val="24"/>
          <w:szCs w:val="24"/>
        </w:rPr>
        <w:t xml:space="preserve"> с привлечением других </w:t>
      </w:r>
      <w:r w:rsidRPr="00CA0CE8">
        <w:rPr>
          <w:rFonts w:ascii="Times New Roman" w:hAnsi="Times New Roman" w:cs="Times New Roman"/>
          <w:sz w:val="24"/>
          <w:szCs w:val="24"/>
        </w:rPr>
        <w:t>соответствующих этим требованиям</w:t>
      </w:r>
      <w:r w:rsidRPr="000331B7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Часть 2 ст. 52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содержит системную ссылку на Перечень видов работ</w:t>
      </w:r>
      <w:r w:rsidRPr="006C6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утвержденного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30.12.2009 N 624 (в ред. от 14.11.2011 г.) (далее - Перечень).</w:t>
      </w:r>
    </w:p>
    <w:p w:rsidR="009D49C8" w:rsidRDefault="009D49C8" w:rsidP="0030681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Перечень, в числе видов работ, которые оказывают влияние на безопасность объектов капитального строительства и для выполнения которых требуется наличие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допуска, предусматривает </w:t>
      </w:r>
      <w:r w:rsidRPr="000D5BB5">
        <w:rPr>
          <w:rFonts w:ascii="Times New Roman" w:hAnsi="Times New Roman" w:cs="Times New Roman"/>
          <w:sz w:val="24"/>
          <w:szCs w:val="24"/>
        </w:rPr>
        <w:t>"Работы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D5B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» (п. 33 Перечня), а </w:t>
      </w:r>
      <w:r w:rsidRPr="000D5BB5">
        <w:rPr>
          <w:rFonts w:ascii="Times New Roman" w:hAnsi="Times New Roman" w:cs="Times New Roman"/>
          <w:sz w:val="24"/>
          <w:szCs w:val="24"/>
        </w:rPr>
        <w:t xml:space="preserve">подпункт 33.4. </w:t>
      </w:r>
      <w:r>
        <w:rPr>
          <w:rFonts w:ascii="Times New Roman" w:hAnsi="Times New Roman" w:cs="Times New Roman"/>
          <w:sz w:val="24"/>
          <w:szCs w:val="24"/>
        </w:rPr>
        <w:t xml:space="preserve">Перечня требует наличия допуска для выполнения работ на </w:t>
      </w:r>
      <w:r w:rsidRPr="000D5BB5">
        <w:rPr>
          <w:rFonts w:ascii="Times New Roman" w:hAnsi="Times New Roman" w:cs="Times New Roman"/>
          <w:sz w:val="24"/>
          <w:szCs w:val="24"/>
        </w:rPr>
        <w:t>«Объект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D5BB5">
        <w:rPr>
          <w:rFonts w:ascii="Times New Roman" w:hAnsi="Times New Roman" w:cs="Times New Roman"/>
          <w:sz w:val="24"/>
          <w:szCs w:val="24"/>
        </w:rPr>
        <w:t xml:space="preserve"> электроснабжения до 110 </w:t>
      </w:r>
      <w:proofErr w:type="spellStart"/>
      <w:r w:rsidRPr="000D5BB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D5BB5">
        <w:rPr>
          <w:rFonts w:ascii="Times New Roman" w:hAnsi="Times New Roman" w:cs="Times New Roman"/>
          <w:sz w:val="24"/>
          <w:szCs w:val="24"/>
        </w:rPr>
        <w:t xml:space="preserve"> включительно»</w:t>
      </w:r>
      <w:r>
        <w:rPr>
          <w:rFonts w:ascii="Times New Roman" w:hAnsi="Times New Roman" w:cs="Times New Roman"/>
          <w:sz w:val="24"/>
          <w:szCs w:val="24"/>
        </w:rPr>
        <w:t xml:space="preserve"> (п. 33.4. применяется исходя из класса напряжения </w:t>
      </w:r>
      <w:r w:rsidR="00561FD3">
        <w:rPr>
          <w:rFonts w:ascii="Times New Roman" w:hAnsi="Times New Roman" w:cs="Times New Roman"/>
          <w:sz w:val="24"/>
          <w:szCs w:val="24"/>
        </w:rPr>
        <w:t>ремонтируемых</w:t>
      </w:r>
      <w:r>
        <w:rPr>
          <w:rFonts w:ascii="Times New Roman" w:hAnsi="Times New Roman" w:cs="Times New Roman"/>
          <w:sz w:val="24"/>
          <w:szCs w:val="24"/>
        </w:rPr>
        <w:t xml:space="preserve"> объектов согласно предмету закупочной процедуры).</w:t>
      </w:r>
    </w:p>
    <w:p w:rsidR="009D49C8" w:rsidRPr="003A54DB" w:rsidRDefault="009D49C8" w:rsidP="0030681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4DB">
        <w:rPr>
          <w:rFonts w:ascii="Times New Roman" w:hAnsi="Times New Roman" w:cs="Times New Roman"/>
          <w:b/>
          <w:sz w:val="24"/>
          <w:szCs w:val="24"/>
        </w:rPr>
        <w:t>Из системного толкования вышеприведенных норм Градостроительного кодекса РФ</w:t>
      </w:r>
      <w:r w:rsidR="0030681B">
        <w:rPr>
          <w:rFonts w:ascii="Times New Roman" w:hAnsi="Times New Roman" w:cs="Times New Roman"/>
          <w:b/>
          <w:sz w:val="24"/>
          <w:szCs w:val="24"/>
        </w:rPr>
        <w:t xml:space="preserve"> и положений Конкурсной документации</w:t>
      </w:r>
      <w:r w:rsidRPr="003A54DB">
        <w:rPr>
          <w:rFonts w:ascii="Times New Roman" w:hAnsi="Times New Roman" w:cs="Times New Roman"/>
          <w:b/>
          <w:sz w:val="24"/>
          <w:szCs w:val="24"/>
        </w:rPr>
        <w:t>, следует однозначный вывод о том, что в случае осуществления застройщиком</w:t>
      </w:r>
      <w:r w:rsidR="00561FD3">
        <w:rPr>
          <w:rFonts w:ascii="Times New Roman" w:hAnsi="Times New Roman" w:cs="Times New Roman"/>
          <w:b/>
          <w:sz w:val="24"/>
          <w:szCs w:val="24"/>
        </w:rPr>
        <w:t>/Заказчиком</w:t>
      </w:r>
      <w:r w:rsidRPr="003A54DB">
        <w:rPr>
          <w:rFonts w:ascii="Times New Roman" w:hAnsi="Times New Roman" w:cs="Times New Roman"/>
          <w:b/>
          <w:sz w:val="24"/>
          <w:szCs w:val="24"/>
        </w:rPr>
        <w:t xml:space="preserve"> (в рассматриваемом случае организатором конкурса) </w:t>
      </w:r>
      <w:r w:rsidR="00561FD3">
        <w:rPr>
          <w:rFonts w:ascii="Times New Roman" w:hAnsi="Times New Roman" w:cs="Times New Roman"/>
          <w:b/>
          <w:sz w:val="24"/>
          <w:szCs w:val="24"/>
        </w:rPr>
        <w:t xml:space="preserve">капитального ремонта </w:t>
      </w:r>
      <w:r w:rsidRPr="003A54DB">
        <w:rPr>
          <w:rFonts w:ascii="Times New Roman" w:hAnsi="Times New Roman" w:cs="Times New Roman"/>
          <w:b/>
          <w:sz w:val="24"/>
          <w:szCs w:val="24"/>
        </w:rPr>
        <w:t>объекта капитального строительства с привлечением третьего лица (Участника конкурса/подрядчика), привлекаемое лицо должно иметь Свидетельство о допуске к видам работ по строительству, реконструкции и капитальному ремонту объектов капитального строительства, которые оказывают влияние на безопасность объектов капитального строительства с допусками по п. 33 и 33.4. Перечня.</w:t>
      </w:r>
    </w:p>
    <w:p w:rsidR="004F6D48" w:rsidRPr="004F6D48" w:rsidRDefault="004F6D48" w:rsidP="0030681B">
      <w:pPr>
        <w:spacing w:after="0" w:line="240" w:lineRule="auto"/>
        <w:jc w:val="both"/>
        <w:rPr>
          <w:sz w:val="24"/>
          <w:szCs w:val="24"/>
        </w:rPr>
      </w:pPr>
      <w:r w:rsidRPr="004F6D48">
        <w:rPr>
          <w:rFonts w:ascii="Times New Roman" w:hAnsi="Times New Roman" w:cs="Times New Roman"/>
          <w:b/>
          <w:sz w:val="24"/>
          <w:szCs w:val="24"/>
        </w:rPr>
        <w:t xml:space="preserve">Согласно п. 3.5.2.1. Конкурсной документации, </w:t>
      </w:r>
      <w:bookmarkStart w:id="0" w:name="_Ref204763251"/>
      <w:r w:rsidRPr="004F6D48">
        <w:rPr>
          <w:rFonts w:ascii="Times New Roman" w:hAnsi="Times New Roman" w:cs="Times New Roman"/>
          <w:b/>
          <w:sz w:val="24"/>
          <w:szCs w:val="24"/>
        </w:rPr>
        <w:t>«</w:t>
      </w:r>
      <w:r w:rsidRPr="004F6D48">
        <w:rPr>
          <w:rFonts w:ascii="Times New Roman" w:hAnsi="Times New Roman" w:cs="Times New Roman"/>
          <w:sz w:val="24"/>
          <w:szCs w:val="24"/>
        </w:rPr>
        <w:t xml:space="preserve">Участник конкурса должен включить в состав Конкурсной заявки документы, указанные в </w:t>
      </w:r>
      <w:r w:rsidRPr="004F6D48">
        <w:rPr>
          <w:rFonts w:ascii="Times New Roman" w:hAnsi="Times New Roman" w:cs="Times New Roman"/>
          <w:b/>
          <w:sz w:val="24"/>
          <w:szCs w:val="24"/>
        </w:rPr>
        <w:t>Информационной карт</w:t>
      </w:r>
      <w:bookmarkEnd w:id="0"/>
      <w:r w:rsidRPr="004F6D48">
        <w:rPr>
          <w:rFonts w:ascii="Times New Roman" w:hAnsi="Times New Roman" w:cs="Times New Roman"/>
          <w:b/>
          <w:sz w:val="24"/>
          <w:szCs w:val="24"/>
        </w:rPr>
        <w:t>е</w:t>
      </w:r>
      <w:r w:rsidRPr="004F6D48">
        <w:rPr>
          <w:rFonts w:ascii="Times New Roman" w:hAnsi="Times New Roman" w:cs="Times New Roman"/>
          <w:sz w:val="24"/>
          <w:szCs w:val="24"/>
        </w:rPr>
        <w:t xml:space="preserve"> подтверждающие соответствие Участника требованиям Конкурсной документации»</w:t>
      </w:r>
      <w:r w:rsidRPr="004F6D48">
        <w:rPr>
          <w:sz w:val="24"/>
          <w:szCs w:val="24"/>
        </w:rPr>
        <w:t>.</w:t>
      </w:r>
    </w:p>
    <w:p w:rsidR="004F6D48" w:rsidRDefault="004F6D48" w:rsidP="0030681B">
      <w:pPr>
        <w:pStyle w:val="a0"/>
        <w:numPr>
          <w:ilvl w:val="0"/>
          <w:numId w:val="0"/>
        </w:numPr>
        <w:spacing w:line="240" w:lineRule="auto"/>
        <w:rPr>
          <w:sz w:val="24"/>
        </w:rPr>
      </w:pPr>
      <w:r w:rsidRPr="004F6D48">
        <w:rPr>
          <w:sz w:val="24"/>
          <w:szCs w:val="24"/>
        </w:rPr>
        <w:t xml:space="preserve">Пунктом </w:t>
      </w:r>
      <w:r w:rsidR="00EC01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3.10.1.5. Конкурсной документации, предусмотрено, что  </w:t>
      </w:r>
      <w:bookmarkStart w:id="1" w:name="_Ref55307002"/>
      <w:r>
        <w:rPr>
          <w:sz w:val="24"/>
        </w:rPr>
        <w:t>Конкурсная комиссия может отклонить Конкурсные заявки, которые:</w:t>
      </w:r>
      <w:bookmarkEnd w:id="1"/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А)</w:t>
      </w:r>
      <w:r w:rsidR="004F6D48">
        <w:rPr>
          <w:sz w:val="24"/>
        </w:rPr>
        <w:t xml:space="preserve"> не соответствуют требованиям Конкурсной документации по существу; </w:t>
      </w:r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Б)</w:t>
      </w:r>
      <w:r w:rsidR="004F6D48">
        <w:rPr>
          <w:sz w:val="24"/>
        </w:rPr>
        <w:t xml:space="preserve"> поданы Участниками конкурса, которые не отвечают требованиям настоящей Конкурсной документации; </w:t>
      </w:r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В)</w:t>
      </w:r>
      <w:r w:rsidR="004F6D48">
        <w:rPr>
          <w:sz w:val="24"/>
        </w:rPr>
        <w:t xml:space="preserve"> не содержат документы и сведения, требуемые в соответствии с условиями настоящей  Конкурсной документации;</w:t>
      </w:r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Г)</w:t>
      </w:r>
      <w:r w:rsidR="004F6D48">
        <w:rPr>
          <w:sz w:val="24"/>
        </w:rPr>
        <w:t xml:space="preserve"> не содержат расписку Участника конкурса о согласии на проведение проверки СЭБ на предмет благонадежности;</w:t>
      </w:r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Д)</w:t>
      </w:r>
      <w:r w:rsidR="004F6D48">
        <w:rPr>
          <w:sz w:val="24"/>
        </w:rPr>
        <w:t xml:space="preserve"> </w:t>
      </w:r>
      <w:r w:rsidR="004F6D48" w:rsidRPr="00D73890">
        <w:rPr>
          <w:sz w:val="24"/>
        </w:rPr>
        <w:t xml:space="preserve">в отношении Участника </w:t>
      </w:r>
      <w:r w:rsidR="004F6D48">
        <w:rPr>
          <w:sz w:val="24"/>
        </w:rPr>
        <w:t xml:space="preserve">конкурса </w:t>
      </w:r>
      <w:r w:rsidR="004F6D48" w:rsidRPr="00D73890">
        <w:rPr>
          <w:sz w:val="24"/>
        </w:rPr>
        <w:t xml:space="preserve">от </w:t>
      </w:r>
      <w:r w:rsidR="004F6D48">
        <w:rPr>
          <w:sz w:val="24"/>
        </w:rPr>
        <w:t>СЭБ</w:t>
      </w:r>
      <w:r w:rsidR="004F6D48" w:rsidRPr="00D73890">
        <w:rPr>
          <w:sz w:val="24"/>
        </w:rPr>
        <w:t xml:space="preserve"> ОАО «</w:t>
      </w:r>
      <w:proofErr w:type="spellStart"/>
      <w:r w:rsidR="004F6D48" w:rsidRPr="00D73890">
        <w:rPr>
          <w:sz w:val="24"/>
        </w:rPr>
        <w:t>Тюменьэнерго</w:t>
      </w:r>
      <w:proofErr w:type="spellEnd"/>
      <w:r w:rsidR="004F6D48" w:rsidRPr="00D73890">
        <w:rPr>
          <w:sz w:val="24"/>
        </w:rPr>
        <w:t>» получено отрицательное заключение  на предмет благонадежности</w:t>
      </w:r>
      <w:r w:rsidR="004F6D48">
        <w:rPr>
          <w:sz w:val="24"/>
        </w:rPr>
        <w:t xml:space="preserve">; </w:t>
      </w:r>
    </w:p>
    <w:p w:rsidR="004F6D48" w:rsidRPr="00B708C0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Е)</w:t>
      </w:r>
      <w:r w:rsidR="004F6D48">
        <w:rPr>
          <w:sz w:val="24"/>
        </w:rPr>
        <w:t xml:space="preserve"> </w:t>
      </w:r>
      <w:r w:rsidRPr="00B708C0">
        <w:rPr>
          <w:sz w:val="24"/>
        </w:rPr>
        <w:t>аффилированы</w:t>
      </w:r>
      <w:r w:rsidR="004F6D48" w:rsidRPr="00B708C0">
        <w:rPr>
          <w:sz w:val="24"/>
        </w:rPr>
        <w:t xml:space="preserve"> с Организатором (Заказчиком);</w:t>
      </w:r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Ж)</w:t>
      </w:r>
      <w:r w:rsidR="004F6D48">
        <w:rPr>
          <w:sz w:val="24"/>
        </w:rPr>
        <w:t xml:space="preserve"> </w:t>
      </w:r>
      <w:r w:rsidRPr="00B708C0">
        <w:rPr>
          <w:sz w:val="24"/>
        </w:rPr>
        <w:t>аффилированы</w:t>
      </w:r>
      <w:r w:rsidR="004F6D48" w:rsidRPr="00B708C0">
        <w:rPr>
          <w:sz w:val="24"/>
        </w:rPr>
        <w:t xml:space="preserve"> к другим Участникам конкурса;</w:t>
      </w:r>
    </w:p>
    <w:p w:rsidR="004F6D48" w:rsidRDefault="00EC0156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4"/>
        </w:rPr>
        <w:t>З)</w:t>
      </w:r>
      <w:r w:rsidR="004F6D48">
        <w:rPr>
          <w:sz w:val="24"/>
        </w:rPr>
        <w:t xml:space="preserve"> поданные Участниками конкурса, которые не согласились с предложениями Конкурсной комиссией по исправлению очевидных арифметических или грамматических ошибок в их Конкурсных заявках.</w:t>
      </w:r>
    </w:p>
    <w:p w:rsidR="0030681B" w:rsidRDefault="0030681B" w:rsidP="0030681B">
      <w:pPr>
        <w:pStyle w:val="a1"/>
        <w:numPr>
          <w:ilvl w:val="0"/>
          <w:numId w:val="0"/>
        </w:numPr>
        <w:spacing w:line="240" w:lineRule="auto"/>
        <w:rPr>
          <w:sz w:val="24"/>
        </w:rPr>
      </w:pPr>
    </w:p>
    <w:p w:rsidR="00EC0156" w:rsidRPr="0030681B" w:rsidRDefault="00D52306" w:rsidP="00306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="004F6D48" w:rsidRPr="0030681B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F6D48" w:rsidRPr="0030681B">
        <w:rPr>
          <w:rFonts w:ascii="Times New Roman" w:hAnsi="Times New Roman" w:cs="Times New Roman"/>
          <w:b/>
          <w:sz w:val="24"/>
          <w:szCs w:val="24"/>
        </w:rPr>
        <w:t xml:space="preserve"> Участником конкурса в составе своей заявки документа, предусмотренного </w:t>
      </w:r>
      <w:r w:rsidR="00EC0156" w:rsidRPr="0030681B">
        <w:rPr>
          <w:rFonts w:ascii="Times New Roman" w:hAnsi="Times New Roman" w:cs="Times New Roman"/>
          <w:b/>
          <w:sz w:val="24"/>
          <w:szCs w:val="24"/>
        </w:rPr>
        <w:t xml:space="preserve">п. 33.6.11 Информационной карты Конкурсной документации </w:t>
      </w:r>
      <w:r w:rsidR="00EC0156" w:rsidRPr="0030681B">
        <w:rPr>
          <w:rFonts w:ascii="Times New Roman" w:hAnsi="Times New Roman" w:cs="Times New Roman"/>
          <w:b/>
          <w:i/>
          <w:sz w:val="24"/>
          <w:szCs w:val="24"/>
        </w:rPr>
        <w:t xml:space="preserve">(Свидетельство о допуске Участника к определенному виду или видам работ, связанным с выполнением Договора, выдаваемое члену саморегулируемой организации, согласно приказа </w:t>
      </w:r>
      <w:proofErr w:type="spellStart"/>
      <w:r w:rsidR="00EC0156" w:rsidRPr="0030681B">
        <w:rPr>
          <w:rFonts w:ascii="Times New Roman" w:hAnsi="Times New Roman" w:cs="Times New Roman"/>
          <w:b/>
          <w:i/>
          <w:sz w:val="24"/>
          <w:szCs w:val="24"/>
        </w:rPr>
        <w:t>Минрегиона</w:t>
      </w:r>
      <w:proofErr w:type="spellEnd"/>
      <w:r w:rsidR="00EC0156" w:rsidRPr="0030681B">
        <w:rPr>
          <w:rFonts w:ascii="Times New Roman" w:hAnsi="Times New Roman" w:cs="Times New Roman"/>
          <w:b/>
          <w:i/>
          <w:sz w:val="24"/>
          <w:szCs w:val="24"/>
        </w:rPr>
        <w:t xml:space="preserve"> РФ № 624 от 30.12.2009 г., имеющее в обязательном наличии допуск по п. 33.4 (Объекты электроснабжения до 110 </w:t>
      </w:r>
      <w:proofErr w:type="spellStart"/>
      <w:r w:rsidR="00EC0156" w:rsidRPr="0030681B">
        <w:rPr>
          <w:rFonts w:ascii="Times New Roman" w:hAnsi="Times New Roman" w:cs="Times New Roman"/>
          <w:b/>
          <w:i/>
          <w:sz w:val="24"/>
          <w:szCs w:val="24"/>
        </w:rPr>
        <w:t>кВ</w:t>
      </w:r>
      <w:proofErr w:type="spellEnd"/>
      <w:r w:rsidR="00EC0156" w:rsidRPr="0030681B">
        <w:rPr>
          <w:rFonts w:ascii="Times New Roman" w:hAnsi="Times New Roman" w:cs="Times New Roman"/>
          <w:b/>
          <w:i/>
          <w:sz w:val="24"/>
          <w:szCs w:val="24"/>
        </w:rPr>
        <w:t xml:space="preserve"> включительно) (Нотариально заверенные копии))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D52306">
        <w:rPr>
          <w:rFonts w:ascii="Times New Roman" w:hAnsi="Times New Roman" w:cs="Times New Roman"/>
          <w:b/>
          <w:sz w:val="24"/>
          <w:szCs w:val="24"/>
        </w:rPr>
        <w:t>является для Участника конкурса обязательным</w:t>
      </w:r>
      <w:r>
        <w:rPr>
          <w:rFonts w:ascii="Times New Roman" w:hAnsi="Times New Roman" w:cs="Times New Roman"/>
          <w:b/>
          <w:sz w:val="24"/>
          <w:szCs w:val="24"/>
        </w:rPr>
        <w:t>, а в случае не предоставления данного документа,</w:t>
      </w:r>
      <w:bookmarkStart w:id="2" w:name="_GoBack"/>
      <w:bookmarkEnd w:id="2"/>
      <w:r w:rsidR="00EC0156" w:rsidRPr="00D52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156" w:rsidRPr="0030681B">
        <w:rPr>
          <w:rFonts w:ascii="Times New Roman" w:hAnsi="Times New Roman" w:cs="Times New Roman"/>
          <w:b/>
          <w:sz w:val="24"/>
          <w:szCs w:val="24"/>
        </w:rPr>
        <w:t xml:space="preserve">конкурсная заявка такого участника может быть отклонена Конкурсной комиссией, на основании </w:t>
      </w:r>
      <w:proofErr w:type="spellStart"/>
      <w:r w:rsidR="00EC0156" w:rsidRPr="0030681B"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 w:rsidR="00EC0156" w:rsidRPr="0030681B">
        <w:rPr>
          <w:rFonts w:ascii="Times New Roman" w:hAnsi="Times New Roman" w:cs="Times New Roman"/>
          <w:b/>
          <w:sz w:val="24"/>
          <w:szCs w:val="24"/>
        </w:rPr>
        <w:t>. В п. 3.10.1.5 Конкурсной документации.</w:t>
      </w:r>
    </w:p>
    <w:sectPr w:rsidR="00EC0156" w:rsidRPr="0030681B" w:rsidSect="0030681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C33"/>
    <w:multiLevelType w:val="hybridMultilevel"/>
    <w:tmpl w:val="4F5C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C4A7C"/>
    <w:multiLevelType w:val="hybridMultilevel"/>
    <w:tmpl w:val="9D660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62342D16"/>
    <w:multiLevelType w:val="hybridMultilevel"/>
    <w:tmpl w:val="CF8A7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C2"/>
    <w:rsid w:val="0030681B"/>
    <w:rsid w:val="0035561C"/>
    <w:rsid w:val="004049CC"/>
    <w:rsid w:val="004F6D48"/>
    <w:rsid w:val="00561FD3"/>
    <w:rsid w:val="007974F3"/>
    <w:rsid w:val="009777D1"/>
    <w:rsid w:val="009D49C8"/>
    <w:rsid w:val="00A423C2"/>
    <w:rsid w:val="00BC522D"/>
    <w:rsid w:val="00D4724D"/>
    <w:rsid w:val="00D52306"/>
    <w:rsid w:val="00DD5475"/>
    <w:rsid w:val="00E26403"/>
    <w:rsid w:val="00E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4F6D48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2"/>
    <w:next w:val="a2"/>
    <w:link w:val="20"/>
    <w:qFormat/>
    <w:rsid w:val="004F6D48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4F6D48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4F6D4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4F6D48"/>
    <w:pPr>
      <w:numPr>
        <w:ilvl w:val="3"/>
      </w:numPr>
    </w:pPr>
  </w:style>
  <w:style w:type="paragraph" w:customStyle="1" w:styleId="a">
    <w:name w:val="Пункт"/>
    <w:basedOn w:val="a2"/>
    <w:rsid w:val="004F6D48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одподпункт"/>
    <w:basedOn w:val="a0"/>
    <w:link w:val="a6"/>
    <w:rsid w:val="004F6D48"/>
    <w:pPr>
      <w:numPr>
        <w:ilvl w:val="4"/>
        <w:numId w:val="2"/>
      </w:numPr>
    </w:pPr>
  </w:style>
  <w:style w:type="character" w:customStyle="1" w:styleId="a6">
    <w:name w:val="Подподпункт Знак"/>
    <w:link w:val="a1"/>
    <w:rsid w:val="004F6D4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uiPriority w:val="34"/>
    <w:qFormat/>
    <w:rsid w:val="004F6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4F6D48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2"/>
    <w:next w:val="a2"/>
    <w:link w:val="20"/>
    <w:qFormat/>
    <w:rsid w:val="004F6D48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4F6D48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4F6D4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4F6D48"/>
    <w:pPr>
      <w:numPr>
        <w:ilvl w:val="3"/>
      </w:numPr>
    </w:pPr>
  </w:style>
  <w:style w:type="paragraph" w:customStyle="1" w:styleId="a">
    <w:name w:val="Пункт"/>
    <w:basedOn w:val="a2"/>
    <w:rsid w:val="004F6D48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одподпункт"/>
    <w:basedOn w:val="a0"/>
    <w:link w:val="a6"/>
    <w:rsid w:val="004F6D48"/>
    <w:pPr>
      <w:numPr>
        <w:ilvl w:val="4"/>
        <w:numId w:val="2"/>
      </w:numPr>
    </w:pPr>
  </w:style>
  <w:style w:type="character" w:customStyle="1" w:styleId="a6">
    <w:name w:val="Подподпункт Знак"/>
    <w:link w:val="a1"/>
    <w:rsid w:val="004F6D4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uiPriority w:val="34"/>
    <w:qFormat/>
    <w:rsid w:val="004F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7731790DE35FFBDD6D598D7A7D88E661B89C78E58B3F477A76D37FC481280F0C6379D357A552E2y1S4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Александрович Зубарев</dc:creator>
  <cp:keywords/>
  <dc:description/>
  <cp:lastModifiedBy>Александр Александрович Зубарев</cp:lastModifiedBy>
  <cp:revision>3</cp:revision>
  <dcterms:created xsi:type="dcterms:W3CDTF">2014-01-24T07:37:00Z</dcterms:created>
  <dcterms:modified xsi:type="dcterms:W3CDTF">2014-01-27T05:24:00Z</dcterms:modified>
</cp:coreProperties>
</file>