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1D" w:rsidRPr="00AA1C1D" w:rsidRDefault="00AA1C1D" w:rsidP="00AA1C1D">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AA1C1D">
        <w:rPr>
          <w:rFonts w:ascii="Arial" w:eastAsia="Times New Roman" w:hAnsi="Arial" w:cs="Arial"/>
          <w:color w:val="333333"/>
          <w:kern w:val="36"/>
          <w:sz w:val="27"/>
          <w:szCs w:val="27"/>
          <w:lang w:eastAsia="ru-RU"/>
        </w:rPr>
        <w:t>Конкурс (тендер) № 42266 </w:t>
      </w:r>
      <w:r w:rsidRPr="00AA1C1D">
        <w:rPr>
          <w:rFonts w:ascii="Arial" w:eastAsia="Times New Roman" w:hAnsi="Arial" w:cs="Arial"/>
          <w:color w:val="A0A0A0"/>
          <w:kern w:val="36"/>
          <w:sz w:val="21"/>
          <w:szCs w:val="21"/>
          <w:lang w:eastAsia="ru-RU"/>
        </w:rPr>
        <w:t>(вскрытие конвертов 07.11.2014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AA1C1D" w:rsidRPr="00AA1C1D" w:rsidTr="00AA1C1D">
        <w:trPr>
          <w:tblCellSpacing w:w="0" w:type="dxa"/>
        </w:trPr>
        <w:tc>
          <w:tcPr>
            <w:tcW w:w="0" w:type="auto"/>
            <w:shd w:val="clear" w:color="auto" w:fill="FFFFFF"/>
            <w:hideMark/>
          </w:tcPr>
          <w:p w:rsidR="00AA1C1D" w:rsidRPr="00AA1C1D" w:rsidRDefault="00AA1C1D" w:rsidP="00AA1C1D">
            <w:pPr>
              <w:shd w:val="clear" w:color="auto" w:fill="0786D0"/>
              <w:spacing w:after="30" w:line="240" w:lineRule="auto"/>
              <w:rPr>
                <w:rFonts w:ascii="Arial" w:eastAsia="Times New Roman" w:hAnsi="Arial" w:cs="Arial"/>
                <w:color w:val="FFFFFF"/>
                <w:sz w:val="18"/>
                <w:szCs w:val="18"/>
                <w:lang w:eastAsia="ru-RU"/>
              </w:rPr>
            </w:pPr>
            <w:r w:rsidRPr="00AA1C1D">
              <w:rPr>
                <w:rFonts w:ascii="Arial" w:eastAsia="Times New Roman" w:hAnsi="Arial" w:cs="Arial"/>
                <w:color w:val="FFFFFF"/>
                <w:sz w:val="18"/>
                <w:szCs w:val="18"/>
                <w:lang w:eastAsia="ru-RU"/>
              </w:rPr>
              <w:t>Извещение</w:t>
            </w:r>
          </w:p>
          <w:p w:rsidR="00AA1C1D" w:rsidRPr="00AA1C1D" w:rsidRDefault="004D3DA0" w:rsidP="00AA1C1D">
            <w:pPr>
              <w:shd w:val="clear" w:color="auto" w:fill="D5DADB"/>
              <w:spacing w:after="30" w:line="240" w:lineRule="auto"/>
              <w:rPr>
                <w:rFonts w:ascii="Arial" w:eastAsia="Times New Roman" w:hAnsi="Arial" w:cs="Arial"/>
                <w:color w:val="333333"/>
                <w:sz w:val="18"/>
                <w:szCs w:val="18"/>
                <w:lang w:eastAsia="ru-RU"/>
              </w:rPr>
            </w:pPr>
            <w:hyperlink r:id="rId5" w:history="1">
              <w:r w:rsidR="00AA1C1D" w:rsidRPr="00AA1C1D">
                <w:rPr>
                  <w:rFonts w:ascii="Arial" w:eastAsia="Times New Roman" w:hAnsi="Arial" w:cs="Arial"/>
                  <w:color w:val="333333"/>
                  <w:sz w:val="18"/>
                  <w:szCs w:val="18"/>
                  <w:u w:val="single"/>
                  <w:bdr w:val="none" w:sz="0" w:space="0" w:color="auto" w:frame="1"/>
                  <w:lang w:eastAsia="ru-RU"/>
                </w:rPr>
                <w:t>Лоты - 1</w:t>
              </w:r>
            </w:hyperlink>
          </w:p>
          <w:p w:rsidR="00AA1C1D" w:rsidRPr="00AA1C1D" w:rsidRDefault="004D3DA0" w:rsidP="00AA1C1D">
            <w:pPr>
              <w:shd w:val="clear" w:color="auto" w:fill="D5DADB"/>
              <w:spacing w:after="30" w:line="240" w:lineRule="auto"/>
              <w:rPr>
                <w:rFonts w:ascii="Arial" w:eastAsia="Times New Roman" w:hAnsi="Arial" w:cs="Arial"/>
                <w:color w:val="333333"/>
                <w:sz w:val="18"/>
                <w:szCs w:val="18"/>
                <w:lang w:eastAsia="ru-RU"/>
              </w:rPr>
            </w:pPr>
            <w:hyperlink r:id="rId6" w:history="1">
              <w:r w:rsidR="00AA1C1D" w:rsidRPr="00AA1C1D">
                <w:rPr>
                  <w:rFonts w:ascii="Arial" w:eastAsia="Times New Roman" w:hAnsi="Arial" w:cs="Arial"/>
                  <w:color w:val="333333"/>
                  <w:sz w:val="18"/>
                  <w:szCs w:val="18"/>
                  <w:u w:val="single"/>
                  <w:bdr w:val="none" w:sz="0" w:space="0" w:color="auto" w:frame="1"/>
                  <w:lang w:eastAsia="ru-RU"/>
                </w:rPr>
                <w:t>Запросы разъяснений - 0</w:t>
              </w:r>
            </w:hyperlink>
          </w:p>
          <w:p w:rsidR="00AA1C1D" w:rsidRPr="00AA1C1D" w:rsidRDefault="004D3DA0" w:rsidP="00AA1C1D">
            <w:pPr>
              <w:shd w:val="clear" w:color="auto" w:fill="D5DADB"/>
              <w:spacing w:after="30" w:line="240" w:lineRule="auto"/>
              <w:rPr>
                <w:rFonts w:ascii="Arial" w:eastAsia="Times New Roman" w:hAnsi="Arial" w:cs="Arial"/>
                <w:color w:val="333333"/>
                <w:sz w:val="18"/>
                <w:szCs w:val="18"/>
                <w:lang w:eastAsia="ru-RU"/>
              </w:rPr>
            </w:pPr>
            <w:hyperlink r:id="rId7" w:history="1">
              <w:r w:rsidR="00AA1C1D" w:rsidRPr="00AA1C1D">
                <w:rPr>
                  <w:rFonts w:ascii="Arial" w:eastAsia="Times New Roman" w:hAnsi="Arial" w:cs="Arial"/>
                  <w:color w:val="333333"/>
                  <w:sz w:val="18"/>
                  <w:szCs w:val="18"/>
                  <w:u w:val="single"/>
                  <w:bdr w:val="none" w:sz="0" w:space="0" w:color="auto" w:frame="1"/>
                  <w:lang w:eastAsia="ru-RU"/>
                </w:rPr>
                <w:t>Приглашения к участию - 0</w:t>
              </w:r>
            </w:hyperlink>
          </w:p>
          <w:p w:rsidR="00AA1C1D" w:rsidRPr="00AA1C1D" w:rsidRDefault="004D3DA0" w:rsidP="00AA1C1D">
            <w:pPr>
              <w:shd w:val="clear" w:color="auto" w:fill="D5DADB"/>
              <w:spacing w:after="30" w:line="240" w:lineRule="auto"/>
              <w:rPr>
                <w:rFonts w:ascii="Arial" w:eastAsia="Times New Roman" w:hAnsi="Arial" w:cs="Arial"/>
                <w:color w:val="333333"/>
                <w:sz w:val="18"/>
                <w:szCs w:val="18"/>
                <w:lang w:eastAsia="ru-RU"/>
              </w:rPr>
            </w:pPr>
            <w:hyperlink r:id="rId8" w:history="1">
              <w:r w:rsidR="00AA1C1D" w:rsidRPr="00AA1C1D">
                <w:rPr>
                  <w:rFonts w:ascii="Arial" w:eastAsia="Times New Roman" w:hAnsi="Arial" w:cs="Arial"/>
                  <w:color w:val="333333"/>
                  <w:sz w:val="18"/>
                  <w:szCs w:val="18"/>
                  <w:u w:val="single"/>
                  <w:bdr w:val="none" w:sz="0" w:space="0" w:color="auto" w:frame="1"/>
                  <w:lang w:eastAsia="ru-RU"/>
                </w:rPr>
                <w:t>Претенденты - 0</w:t>
              </w:r>
            </w:hyperlink>
          </w:p>
          <w:p w:rsidR="00AA1C1D" w:rsidRPr="00AA1C1D" w:rsidRDefault="004D3DA0" w:rsidP="00AA1C1D">
            <w:pPr>
              <w:shd w:val="clear" w:color="auto" w:fill="D5DADB"/>
              <w:spacing w:after="30" w:line="240" w:lineRule="auto"/>
              <w:rPr>
                <w:rFonts w:ascii="Arial" w:eastAsia="Times New Roman" w:hAnsi="Arial" w:cs="Arial"/>
                <w:color w:val="333333"/>
                <w:sz w:val="18"/>
                <w:szCs w:val="18"/>
                <w:lang w:eastAsia="ru-RU"/>
              </w:rPr>
            </w:pPr>
            <w:hyperlink r:id="rId9" w:history="1">
              <w:r w:rsidR="00AA1C1D" w:rsidRPr="00AA1C1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AA1C1D" w:rsidRPr="00AA1C1D" w:rsidRDefault="00AA1C1D" w:rsidP="00AA1C1D">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AA1C1D" w:rsidRPr="00AA1C1D" w:rsidTr="00AA1C1D">
        <w:trPr>
          <w:tblCellSpacing w:w="7" w:type="dxa"/>
        </w:trPr>
        <w:tc>
          <w:tcPr>
            <w:tcW w:w="0" w:type="auto"/>
            <w:shd w:val="clear" w:color="auto" w:fill="C2C9CD"/>
            <w:tcMar>
              <w:top w:w="75" w:type="dxa"/>
              <w:left w:w="75" w:type="dxa"/>
              <w:bottom w:w="75" w:type="dxa"/>
              <w:right w:w="75" w:type="dxa"/>
            </w:tcMar>
            <w:hideMark/>
          </w:tcPr>
          <w:p w:rsidR="00AA1C1D" w:rsidRPr="00AA1C1D" w:rsidRDefault="004D3DA0" w:rsidP="00AA1C1D">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00AA1C1D" w:rsidRPr="00AA1C1D">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00AA1C1D" w:rsidRPr="00AA1C1D">
                <w:rPr>
                  <w:rFonts w:ascii="Arial" w:eastAsia="Times New Roman" w:hAnsi="Arial" w:cs="Arial"/>
                  <w:b/>
                  <w:bCs/>
                  <w:color w:val="990066"/>
                  <w:sz w:val="18"/>
                  <w:szCs w:val="18"/>
                  <w:u w:val="single"/>
                  <w:lang w:eastAsia="ru-RU"/>
                </w:rPr>
                <w:t>Тюменьэнерго</w:t>
              </w:r>
              <w:proofErr w:type="spellEnd"/>
              <w:r w:rsidR="00AA1C1D" w:rsidRPr="00AA1C1D">
                <w:rPr>
                  <w:rFonts w:ascii="Arial" w:eastAsia="Times New Roman" w:hAnsi="Arial" w:cs="Arial"/>
                  <w:b/>
                  <w:bCs/>
                  <w:color w:val="990066"/>
                  <w:sz w:val="18"/>
                  <w:szCs w:val="18"/>
                  <w:u w:val="single"/>
                  <w:lang w:eastAsia="ru-RU"/>
                </w:rPr>
                <w:t xml:space="preserve">" </w:t>
              </w:r>
              <w:proofErr w:type="spellStart"/>
              <w:r w:rsidR="00AA1C1D" w:rsidRPr="00AA1C1D">
                <w:rPr>
                  <w:rFonts w:ascii="Arial" w:eastAsia="Times New Roman" w:hAnsi="Arial" w:cs="Arial"/>
                  <w:b/>
                  <w:bCs/>
                  <w:color w:val="990066"/>
                  <w:sz w:val="18"/>
                  <w:szCs w:val="18"/>
                  <w:u w:val="single"/>
                  <w:lang w:eastAsia="ru-RU"/>
                </w:rPr>
                <w:t>Нижневартовские</w:t>
              </w:r>
              <w:proofErr w:type="spellEnd"/>
              <w:r w:rsidR="00AA1C1D" w:rsidRPr="00AA1C1D">
                <w:rPr>
                  <w:rFonts w:ascii="Arial" w:eastAsia="Times New Roman" w:hAnsi="Arial" w:cs="Arial"/>
                  <w:b/>
                  <w:bCs/>
                  <w:color w:val="990066"/>
                  <w:sz w:val="18"/>
                  <w:szCs w:val="18"/>
                  <w:u w:val="single"/>
                  <w:lang w:eastAsia="ru-RU"/>
                </w:rPr>
                <w:t xml:space="preserve"> электрические сети</w:t>
              </w:r>
            </w:hyperlink>
            <w:r w:rsidR="00AA1C1D" w:rsidRPr="00AA1C1D">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00AA1C1D" w:rsidRPr="00AA1C1D">
              <w:rPr>
                <w:rFonts w:ascii="Arial" w:eastAsia="Times New Roman" w:hAnsi="Arial" w:cs="Arial"/>
                <w:b/>
                <w:bCs/>
                <w:color w:val="333333"/>
                <w:sz w:val="18"/>
                <w:szCs w:val="18"/>
                <w:lang w:eastAsia="ru-RU"/>
              </w:rPr>
              <w:t>приглашает принять участие в процедуре (тендере)</w:t>
            </w:r>
            <w:r w:rsidR="00AA1C1D" w:rsidRPr="00AA1C1D">
              <w:rPr>
                <w:rFonts w:ascii="Arial" w:eastAsia="Times New Roman" w:hAnsi="Arial" w:cs="Arial"/>
                <w:color w:val="333333"/>
                <w:sz w:val="18"/>
                <w:szCs w:val="18"/>
                <w:lang w:eastAsia="ru-RU"/>
              </w:rPr>
              <w:t>.</w:t>
            </w:r>
          </w:p>
        </w:tc>
      </w:tr>
      <w:tr w:rsidR="00AA1C1D" w:rsidRPr="00AA1C1D" w:rsidTr="00AA1C1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ремонту контуров заземления и покраске оборудования на ПС филиала ОАО «</w:t>
                  </w:r>
                  <w:proofErr w:type="spellStart"/>
                  <w:r w:rsidRPr="00AA1C1D">
                    <w:rPr>
                      <w:rFonts w:ascii="Times New Roman" w:eastAsia="Times New Roman" w:hAnsi="Times New Roman" w:cs="Times New Roman"/>
                      <w:sz w:val="24"/>
                      <w:szCs w:val="24"/>
                      <w:lang w:eastAsia="ru-RU"/>
                    </w:rPr>
                    <w:t>Тюментьэнерго</w:t>
                  </w:r>
                  <w:proofErr w:type="spellEnd"/>
                  <w:r w:rsidRPr="00AA1C1D">
                    <w:rPr>
                      <w:rFonts w:ascii="Times New Roman" w:eastAsia="Times New Roman" w:hAnsi="Times New Roman" w:cs="Times New Roman"/>
                      <w:sz w:val="24"/>
                      <w:szCs w:val="24"/>
                      <w:lang w:eastAsia="ru-RU"/>
                    </w:rPr>
                    <w:t xml:space="preserve">» </w:t>
                  </w:r>
                  <w:proofErr w:type="spellStart"/>
                  <w:r w:rsidRPr="00AA1C1D">
                    <w:rPr>
                      <w:rFonts w:ascii="Times New Roman" w:eastAsia="Times New Roman" w:hAnsi="Times New Roman" w:cs="Times New Roman"/>
                      <w:sz w:val="24"/>
                      <w:szCs w:val="24"/>
                      <w:lang w:eastAsia="ru-RU"/>
                    </w:rPr>
                    <w:t>Нижневартовские</w:t>
                  </w:r>
                  <w:proofErr w:type="spellEnd"/>
                  <w:r w:rsidRPr="00AA1C1D">
                    <w:rPr>
                      <w:rFonts w:ascii="Times New Roman" w:eastAsia="Times New Roman" w:hAnsi="Times New Roman" w:cs="Times New Roman"/>
                      <w:sz w:val="24"/>
                      <w:szCs w:val="24"/>
                      <w:lang w:eastAsia="ru-RU"/>
                    </w:rPr>
                    <w:t xml:space="preserve"> электрические сети в 2015 году</w:t>
                  </w:r>
                  <w:r w:rsidRPr="00AA1C1D">
                    <w:rPr>
                      <w:rFonts w:ascii="Times New Roman" w:eastAsia="Times New Roman" w:hAnsi="Times New Roman" w:cs="Times New Roman"/>
                      <w:sz w:val="24"/>
                      <w:szCs w:val="24"/>
                      <w:lang w:eastAsia="ru-RU"/>
                    </w:rPr>
                    <w:br/>
                  </w:r>
                  <w:r w:rsidRPr="00AA1C1D">
                    <w:rPr>
                      <w:rFonts w:ascii="Times New Roman" w:eastAsia="Times New Roman" w:hAnsi="Times New Roman" w:cs="Times New Roman"/>
                      <w:b/>
                      <w:bCs/>
                      <w:sz w:val="24"/>
                      <w:szCs w:val="24"/>
                      <w:lang w:eastAsia="ru-RU"/>
                    </w:rPr>
                    <w:t>Лот № 1.</w:t>
                  </w:r>
                  <w:r w:rsidRPr="00AA1C1D">
                    <w:rPr>
                      <w:rFonts w:ascii="Times New Roman" w:eastAsia="Times New Roman" w:hAnsi="Times New Roman" w:cs="Times New Roman"/>
                      <w:sz w:val="24"/>
                      <w:szCs w:val="24"/>
                      <w:lang w:eastAsia="ru-RU"/>
                    </w:rPr>
                    <w:t> Выполнение работ по ремонту контуров заземления и покраске оборудования на ПС филиала ОАО «</w:t>
                  </w:r>
                  <w:proofErr w:type="spellStart"/>
                  <w:r w:rsidRPr="00AA1C1D">
                    <w:rPr>
                      <w:rFonts w:ascii="Times New Roman" w:eastAsia="Times New Roman" w:hAnsi="Times New Roman" w:cs="Times New Roman"/>
                      <w:sz w:val="24"/>
                      <w:szCs w:val="24"/>
                      <w:lang w:eastAsia="ru-RU"/>
                    </w:rPr>
                    <w:t>Тюментьэнерго</w:t>
                  </w:r>
                  <w:proofErr w:type="spellEnd"/>
                  <w:r w:rsidRPr="00AA1C1D">
                    <w:rPr>
                      <w:rFonts w:ascii="Times New Roman" w:eastAsia="Times New Roman" w:hAnsi="Times New Roman" w:cs="Times New Roman"/>
                      <w:sz w:val="24"/>
                      <w:szCs w:val="24"/>
                      <w:lang w:eastAsia="ru-RU"/>
                    </w:rPr>
                    <w:t xml:space="preserve">» </w:t>
                  </w:r>
                  <w:proofErr w:type="spellStart"/>
                  <w:r w:rsidRPr="00AA1C1D">
                    <w:rPr>
                      <w:rFonts w:ascii="Times New Roman" w:eastAsia="Times New Roman" w:hAnsi="Times New Roman" w:cs="Times New Roman"/>
                      <w:sz w:val="24"/>
                      <w:szCs w:val="24"/>
                      <w:lang w:eastAsia="ru-RU"/>
                    </w:rPr>
                    <w:t>Нижневартовские</w:t>
                  </w:r>
                  <w:proofErr w:type="spellEnd"/>
                  <w:r w:rsidRPr="00AA1C1D">
                    <w:rPr>
                      <w:rFonts w:ascii="Times New Roman" w:eastAsia="Times New Roman" w:hAnsi="Times New Roman" w:cs="Times New Roman"/>
                      <w:sz w:val="24"/>
                      <w:szCs w:val="24"/>
                      <w:lang w:eastAsia="ru-RU"/>
                    </w:rPr>
                    <w:t xml:space="preserve"> электрические сети в 2015 году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4010419 </w:t>
                  </w:r>
                  <w:hyperlink r:id="rId11" w:history="1">
                    <w:r w:rsidRPr="00AA1C1D">
                      <w:rPr>
                        <w:rFonts w:ascii="Times New Roman" w:eastAsia="Times New Roman" w:hAnsi="Times New Roman" w:cs="Times New Roman"/>
                        <w:color w:val="1C50A4"/>
                        <w:sz w:val="24"/>
                        <w:szCs w:val="24"/>
                        <w:u w:val="single"/>
                        <w:lang w:eastAsia="ru-RU"/>
                      </w:rPr>
                      <w:t>Электроэнергия, произведенная электростанциями общего пользования прочими</w:t>
                    </w:r>
                  </w:hyperlink>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4010419 </w:t>
                  </w:r>
                  <w:hyperlink r:id="rId12" w:history="1">
                    <w:r w:rsidRPr="00AA1C1D">
                      <w:rPr>
                        <w:rFonts w:ascii="Times New Roman" w:eastAsia="Times New Roman" w:hAnsi="Times New Roman" w:cs="Times New Roman"/>
                        <w:color w:val="1C50A4"/>
                        <w:sz w:val="24"/>
                        <w:szCs w:val="24"/>
                        <w:u w:val="single"/>
                        <w:lang w:eastAsia="ru-RU"/>
                      </w:rPr>
                      <w:t>Электроэнергия, произведенная электростанциями общего пользования прочими</w:t>
                    </w:r>
                  </w:hyperlink>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AA1C1D" w:rsidRPr="00AA1C1D" w:rsidRDefault="00AA1C1D" w:rsidP="00AA1C1D">
                  <w:pPr>
                    <w:shd w:val="clear" w:color="auto" w:fill="FFFFFF"/>
                    <w:spacing w:after="6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Деятельность по обеспечению работоспособности электрических сетей;</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10.10.2014 11:02</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b/>
                      <w:bCs/>
                      <w:sz w:val="24"/>
                      <w:szCs w:val="24"/>
                      <w:lang w:eastAsia="ru-RU"/>
                    </w:rPr>
                    <w:t>01.05.2015 - 30.10.2015</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AA1C1D" w:rsidRPr="00AA1C1D">
                      <w:rPr>
                        <w:rFonts w:ascii="Times New Roman" w:eastAsia="Times New Roman" w:hAnsi="Times New Roman" w:cs="Times New Roman"/>
                        <w:color w:val="1C50A4"/>
                        <w:sz w:val="24"/>
                        <w:szCs w:val="24"/>
                        <w:u w:val="single"/>
                        <w:lang w:eastAsia="ru-RU"/>
                      </w:rPr>
                      <w:t>Туниекова Ольга Юрьевна</w:t>
                    </w:r>
                  </w:hyperlink>
                  <w:r w:rsidR="00AA1C1D" w:rsidRPr="00AA1C1D">
                    <w:rPr>
                      <w:rFonts w:ascii="Times New Roman" w:eastAsia="Times New Roman" w:hAnsi="Times New Roman" w:cs="Times New Roman"/>
                      <w:sz w:val="24"/>
                      <w:szCs w:val="24"/>
                      <w:lang w:eastAsia="ru-RU"/>
                    </w:rPr>
                    <w:t>, тел.+7 (3466) 48-41-89, </w:t>
                  </w:r>
                  <w:hyperlink r:id="rId14" w:history="1">
                    <w:r w:rsidR="00AA1C1D" w:rsidRPr="00AA1C1D">
                      <w:rPr>
                        <w:rFonts w:ascii="Times New Roman" w:eastAsia="Times New Roman" w:hAnsi="Times New Roman" w:cs="Times New Roman"/>
                        <w:color w:val="1C50A4"/>
                        <w:sz w:val="24"/>
                        <w:szCs w:val="24"/>
                        <w:u w:val="single"/>
                        <w:lang w:eastAsia="ru-RU"/>
                      </w:rPr>
                      <w:t>TuniekovaOY@vartanet.ru</w:t>
                    </w:r>
                  </w:hyperlink>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proofErr w:type="gramStart"/>
                  <w:r w:rsidRPr="00AA1C1D">
                    <w:rPr>
                      <w:rFonts w:ascii="Times New Roman" w:eastAsia="Times New Roman" w:hAnsi="Times New Roman" w:cs="Times New Roman"/>
                      <w:sz w:val="24"/>
                      <w:szCs w:val="24"/>
                      <w:lang w:eastAsia="ru-RU"/>
                    </w:rPr>
                    <w:t>Назначена</w:t>
                  </w:r>
                  <w:proofErr w:type="gramEnd"/>
                  <w:r w:rsidRPr="00AA1C1D">
                    <w:rPr>
                      <w:rFonts w:ascii="Times New Roman" w:eastAsia="Times New Roman" w:hAnsi="Times New Roman" w:cs="Times New Roman"/>
                      <w:sz w:val="24"/>
                      <w:szCs w:val="24"/>
                      <w:lang w:eastAsia="ru-RU"/>
                    </w:rPr>
                    <w:t xml:space="preserve"> Приказом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 № 316 от 25.08.2014 г.</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A1C1D">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AA1C1D">
                    <w:rPr>
                      <w:rFonts w:ascii="Times New Roman" w:eastAsia="Times New Roman" w:hAnsi="Times New Roman" w:cs="Times New Roman"/>
                      <w:sz w:val="24"/>
                      <w:szCs w:val="24"/>
                      <w:lang w:eastAsia="ru-RU"/>
                    </w:rPr>
                    <w:br/>
                    <w:t>3. Участник должен обладать необходимыми кадровыми ресурсами:</w:t>
                  </w:r>
                  <w:r w:rsidRPr="00AA1C1D">
                    <w:rPr>
                      <w:rFonts w:ascii="Times New Roman" w:eastAsia="Times New Roman" w:hAnsi="Times New Roman" w:cs="Times New Roman"/>
                      <w:sz w:val="24"/>
                      <w:szCs w:val="24"/>
                      <w:lang w:eastAsia="ru-RU"/>
                    </w:rPr>
                    <w:br/>
                    <w:t>3.1. для выполнения работ по покраске оборудования – не менее 25 чел. с допуском к работе на высоте;</w:t>
                  </w:r>
                  <w:r w:rsidRPr="00AA1C1D">
                    <w:rPr>
                      <w:rFonts w:ascii="Times New Roman" w:eastAsia="Times New Roman" w:hAnsi="Times New Roman" w:cs="Times New Roman"/>
                      <w:sz w:val="24"/>
                      <w:szCs w:val="24"/>
                      <w:lang w:eastAsia="ru-RU"/>
                    </w:rPr>
                    <w:br/>
                    <w:t xml:space="preserve">3.2. для выполнения работ по ремонту контуров заземления – рабочие – не менее 5 чел., в том числе </w:t>
                  </w:r>
                  <w:proofErr w:type="spellStart"/>
                  <w:r w:rsidRPr="00AA1C1D">
                    <w:rPr>
                      <w:rFonts w:ascii="Times New Roman" w:eastAsia="Times New Roman" w:hAnsi="Times New Roman" w:cs="Times New Roman"/>
                      <w:sz w:val="24"/>
                      <w:szCs w:val="24"/>
                      <w:lang w:eastAsia="ru-RU"/>
                    </w:rPr>
                    <w:t>электрогазосварщик</w:t>
                  </w:r>
                  <w:proofErr w:type="spellEnd"/>
                  <w:r w:rsidRPr="00AA1C1D">
                    <w:rPr>
                      <w:rFonts w:ascii="Times New Roman" w:eastAsia="Times New Roman" w:hAnsi="Times New Roman" w:cs="Times New Roman"/>
                      <w:sz w:val="24"/>
                      <w:szCs w:val="24"/>
                      <w:lang w:eastAsia="ru-RU"/>
                    </w:rPr>
                    <w:t xml:space="preserve"> – не менее 1 чел.</w:t>
                  </w:r>
                  <w:r w:rsidRPr="00AA1C1D">
                    <w:rPr>
                      <w:rFonts w:ascii="Times New Roman" w:eastAsia="Times New Roman" w:hAnsi="Times New Roman" w:cs="Times New Roman"/>
                      <w:sz w:val="24"/>
                      <w:szCs w:val="24"/>
                      <w:lang w:eastAsia="ru-RU"/>
                    </w:rPr>
                    <w:br/>
                    <w:t xml:space="preserve">Весь ремонтный персонал должен иметь группу по </w:t>
                  </w:r>
                  <w:r w:rsidRPr="00AA1C1D">
                    <w:rPr>
                      <w:rFonts w:ascii="Times New Roman" w:eastAsia="Times New Roman" w:hAnsi="Times New Roman" w:cs="Times New Roman"/>
                      <w:sz w:val="24"/>
                      <w:szCs w:val="24"/>
                      <w:lang w:eastAsia="ru-RU"/>
                    </w:rPr>
                    <w:lastRenderedPageBreak/>
                    <w:t>электробезопасности согласно требованиям «Правил по охране труда при эксплуатации электроустановок».</w:t>
                  </w:r>
                  <w:r w:rsidRPr="00AA1C1D">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AA1C1D">
                    <w:rPr>
                      <w:rFonts w:ascii="Times New Roman" w:eastAsia="Times New Roman" w:hAnsi="Times New Roman" w:cs="Times New Roman"/>
                      <w:sz w:val="24"/>
                      <w:szCs w:val="24"/>
                      <w:lang w:eastAsia="ru-RU"/>
                    </w:rPr>
                    <w:br/>
                    <w:t xml:space="preserve">4. </w:t>
                  </w:r>
                  <w:proofErr w:type="gramStart"/>
                  <w:r w:rsidRPr="00AA1C1D">
                    <w:rPr>
                      <w:rFonts w:ascii="Times New Roman" w:eastAsia="Times New Roman" w:hAnsi="Times New Roman" w:cs="Times New Roman"/>
                      <w:sz w:val="24"/>
                      <w:szCs w:val="24"/>
                      <w:lang w:eastAsia="ru-RU"/>
                    </w:rPr>
                    <w:t>Участник должен обладать необходимыми основными машинами и механизмами:</w:t>
                  </w:r>
                  <w:r w:rsidRPr="00AA1C1D">
                    <w:rPr>
                      <w:rFonts w:ascii="Times New Roman" w:eastAsia="Times New Roman" w:hAnsi="Times New Roman" w:cs="Times New Roman"/>
                      <w:sz w:val="24"/>
                      <w:szCs w:val="24"/>
                      <w:lang w:eastAsia="ru-RU"/>
                    </w:rPr>
                    <w:br/>
                    <w:t>4.1. для выполнения работ по покраске оборудования:</w:t>
                  </w:r>
                  <w:r w:rsidRPr="00AA1C1D">
                    <w:rPr>
                      <w:rFonts w:ascii="Times New Roman" w:eastAsia="Times New Roman" w:hAnsi="Times New Roman" w:cs="Times New Roman"/>
                      <w:sz w:val="24"/>
                      <w:szCs w:val="24"/>
                      <w:lang w:eastAsia="ru-RU"/>
                    </w:rPr>
                    <w:br/>
                    <w:t>- автогидроподъемник высотой не менее 22 м – не менее 2 ед.,</w:t>
                  </w:r>
                  <w:r w:rsidRPr="00AA1C1D">
                    <w:rPr>
                      <w:rFonts w:ascii="Times New Roman" w:eastAsia="Times New Roman" w:hAnsi="Times New Roman" w:cs="Times New Roman"/>
                      <w:sz w:val="24"/>
                      <w:szCs w:val="24"/>
                      <w:lang w:eastAsia="ru-RU"/>
                    </w:rPr>
                    <w:br/>
                    <w:t>- промышленный пылесос – не менее 4 ед.,</w:t>
                  </w:r>
                  <w:r w:rsidRPr="00AA1C1D">
                    <w:rPr>
                      <w:rFonts w:ascii="Times New Roman" w:eastAsia="Times New Roman" w:hAnsi="Times New Roman" w:cs="Times New Roman"/>
                      <w:sz w:val="24"/>
                      <w:szCs w:val="24"/>
                      <w:lang w:eastAsia="ru-RU"/>
                    </w:rPr>
                    <w:br/>
                    <w:t>- агрегат окрасочный высокого давления для окраски поверхностей конструкций – не менее 4 ед.,</w:t>
                  </w:r>
                  <w:r w:rsidRPr="00AA1C1D">
                    <w:rPr>
                      <w:rFonts w:ascii="Times New Roman" w:eastAsia="Times New Roman" w:hAnsi="Times New Roman" w:cs="Times New Roman"/>
                      <w:sz w:val="24"/>
                      <w:szCs w:val="24"/>
                      <w:lang w:eastAsia="ru-RU"/>
                    </w:rPr>
                    <w:br/>
                    <w:t>- автотранспорт (собственный или арендованный) для доставки персонала на объекты выполнения работ – не менее 4 ед.,</w:t>
                  </w:r>
                  <w:r w:rsidRPr="00AA1C1D">
                    <w:rPr>
                      <w:rFonts w:ascii="Times New Roman" w:eastAsia="Times New Roman" w:hAnsi="Times New Roman" w:cs="Times New Roman"/>
                      <w:sz w:val="24"/>
                      <w:szCs w:val="24"/>
                      <w:lang w:eastAsia="ru-RU"/>
                    </w:rPr>
                    <w:br/>
                    <w:t>- автотранспорт (собственный</w:t>
                  </w:r>
                  <w:proofErr w:type="gramEnd"/>
                  <w:r w:rsidRPr="00AA1C1D">
                    <w:rPr>
                      <w:rFonts w:ascii="Times New Roman" w:eastAsia="Times New Roman" w:hAnsi="Times New Roman" w:cs="Times New Roman"/>
                      <w:sz w:val="24"/>
                      <w:szCs w:val="24"/>
                      <w:lang w:eastAsia="ru-RU"/>
                    </w:rPr>
                    <w:t xml:space="preserve"> </w:t>
                  </w:r>
                  <w:proofErr w:type="gramStart"/>
                  <w:r w:rsidRPr="00AA1C1D">
                    <w:rPr>
                      <w:rFonts w:ascii="Times New Roman" w:eastAsia="Times New Roman" w:hAnsi="Times New Roman" w:cs="Times New Roman"/>
                      <w:sz w:val="24"/>
                      <w:szCs w:val="24"/>
                      <w:lang w:eastAsia="ru-RU"/>
                    </w:rPr>
                    <w:t>или арендованный) для перевозки материалов, оснастки и технологического оборудования – не менее 1 ед.</w:t>
                  </w:r>
                  <w:r w:rsidRPr="00AA1C1D">
                    <w:rPr>
                      <w:rFonts w:ascii="Times New Roman" w:eastAsia="Times New Roman" w:hAnsi="Times New Roman" w:cs="Times New Roman"/>
                      <w:sz w:val="24"/>
                      <w:szCs w:val="24"/>
                      <w:lang w:eastAsia="ru-RU"/>
                    </w:rPr>
                    <w:br/>
                    <w:t>4.2. для выполнения работ по ремонту контуров заземления:</w:t>
                  </w:r>
                  <w:r w:rsidRPr="00AA1C1D">
                    <w:rPr>
                      <w:rFonts w:ascii="Times New Roman" w:eastAsia="Times New Roman" w:hAnsi="Times New Roman" w:cs="Times New Roman"/>
                      <w:sz w:val="24"/>
                      <w:szCs w:val="24"/>
                      <w:lang w:eastAsia="ru-RU"/>
                    </w:rPr>
                    <w:br/>
                    <w:t>- автотранспорт (собственный или арендованный) для доставки персонала на объекты выполнения работ – не менее 1 ед.,</w:t>
                  </w:r>
                  <w:r w:rsidRPr="00AA1C1D">
                    <w:rPr>
                      <w:rFonts w:ascii="Times New Roman" w:eastAsia="Times New Roman" w:hAnsi="Times New Roman" w:cs="Times New Roman"/>
                      <w:sz w:val="24"/>
                      <w:szCs w:val="24"/>
                      <w:lang w:eastAsia="ru-RU"/>
                    </w:rPr>
                    <w:br/>
                    <w:t>- автотранспорт (собственный или арендованный) для перевозки материалов, оснастки и технологического оборудования – не менее 1 ед.,</w:t>
                  </w:r>
                  <w:r w:rsidRPr="00AA1C1D">
                    <w:rPr>
                      <w:rFonts w:ascii="Times New Roman" w:eastAsia="Times New Roman" w:hAnsi="Times New Roman" w:cs="Times New Roman"/>
                      <w:sz w:val="24"/>
                      <w:szCs w:val="24"/>
                      <w:lang w:eastAsia="ru-RU"/>
                    </w:rPr>
                    <w:br/>
                    <w:t>- агрегат сварочный передвижной – не менее 1 ед.</w:t>
                  </w:r>
                  <w:r w:rsidRPr="00AA1C1D">
                    <w:rPr>
                      <w:rFonts w:ascii="Times New Roman" w:eastAsia="Times New Roman" w:hAnsi="Times New Roman" w:cs="Times New Roman"/>
                      <w:sz w:val="24"/>
                      <w:szCs w:val="24"/>
                      <w:lang w:eastAsia="ru-RU"/>
                    </w:rPr>
                    <w:br/>
                    <w:t>Заявка Участника</w:t>
                  </w:r>
                  <w:proofErr w:type="gramEnd"/>
                  <w:r w:rsidRPr="00AA1C1D">
                    <w:rPr>
                      <w:rFonts w:ascii="Times New Roman" w:eastAsia="Times New Roman" w:hAnsi="Times New Roman" w:cs="Times New Roman"/>
                      <w:sz w:val="24"/>
                      <w:szCs w:val="24"/>
                      <w:lang w:eastAsia="ru-RU"/>
                    </w:rPr>
                    <w:t xml:space="preserve"> будет отклонена, в случае несоответствия установленным требованиям.</w:t>
                  </w:r>
                  <w:r w:rsidRPr="00AA1C1D">
                    <w:rPr>
                      <w:rFonts w:ascii="Times New Roman" w:eastAsia="Times New Roman" w:hAnsi="Times New Roman" w:cs="Times New Roman"/>
                      <w:sz w:val="24"/>
                      <w:szCs w:val="24"/>
                      <w:lang w:eastAsia="ru-RU"/>
                    </w:rPr>
                    <w:br/>
                  </w:r>
                  <w:r w:rsidRPr="00AA1C1D">
                    <w:rPr>
                      <w:rFonts w:ascii="Times New Roman" w:eastAsia="Times New Roman" w:hAnsi="Times New Roman" w:cs="Times New Roman"/>
                      <w:sz w:val="24"/>
                      <w:szCs w:val="24"/>
                      <w:lang w:eastAsia="ru-RU"/>
                    </w:rPr>
                    <w:br/>
                    <w:t xml:space="preserve">5. Участнику желательно иметь опыт выполнения аналогичных договоров в сопоставимых с предметом закупки (в денежном выражении) </w:t>
                  </w:r>
                  <w:proofErr w:type="gramStart"/>
                  <w:r w:rsidRPr="00AA1C1D">
                    <w:rPr>
                      <w:rFonts w:ascii="Times New Roman" w:eastAsia="Times New Roman" w:hAnsi="Times New Roman" w:cs="Times New Roman"/>
                      <w:sz w:val="24"/>
                      <w:szCs w:val="24"/>
                      <w:lang w:eastAsia="ru-RU"/>
                    </w:rPr>
                    <w:t>за</w:t>
                  </w:r>
                  <w:proofErr w:type="gramEnd"/>
                  <w:r w:rsidRPr="00AA1C1D">
                    <w:rPr>
                      <w:rFonts w:ascii="Times New Roman" w:eastAsia="Times New Roman" w:hAnsi="Times New Roman" w:cs="Times New Roman"/>
                      <w:sz w:val="24"/>
                      <w:szCs w:val="24"/>
                      <w:lang w:eastAsia="ru-RU"/>
                    </w:rPr>
                    <w:t xml:space="preserve"> последние 3 года</w:t>
                  </w:r>
                  <w:r w:rsidRPr="00AA1C1D">
                    <w:rPr>
                      <w:rFonts w:ascii="Times New Roman" w:eastAsia="Times New Roman" w:hAnsi="Times New Roman" w:cs="Times New Roman"/>
                      <w:sz w:val="24"/>
                      <w:szCs w:val="24"/>
                      <w:lang w:eastAsia="ru-RU"/>
                    </w:rPr>
                    <w:br/>
                    <w:t xml:space="preserve">6.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AA1C1D">
                    <w:rPr>
                      <w:rFonts w:ascii="Times New Roman" w:eastAsia="Times New Roman" w:hAnsi="Times New Roman" w:cs="Times New Roman"/>
                      <w:sz w:val="24"/>
                      <w:szCs w:val="24"/>
                      <w:lang w:eastAsia="ru-RU"/>
                    </w:rPr>
                    <w:t>последние</w:t>
                  </w:r>
                  <w:proofErr w:type="gramEnd"/>
                  <w:r w:rsidRPr="00AA1C1D">
                    <w:rPr>
                      <w:rFonts w:ascii="Times New Roman" w:eastAsia="Times New Roman" w:hAnsi="Times New Roman" w:cs="Times New Roman"/>
                      <w:sz w:val="24"/>
                      <w:szCs w:val="24"/>
                      <w:lang w:eastAsia="ru-RU"/>
                    </w:rPr>
                    <w:t xml:space="preserve"> 3 года</w:t>
                  </w:r>
                  <w:r w:rsidRPr="00AA1C1D">
                    <w:rPr>
                      <w:rFonts w:ascii="Times New Roman" w:eastAsia="Times New Roman" w:hAnsi="Times New Roman" w:cs="Times New Roman"/>
                      <w:sz w:val="24"/>
                      <w:szCs w:val="24"/>
                      <w:lang w:eastAsia="ru-RU"/>
                    </w:rPr>
                    <w:br/>
                    <w:t>7. Техническое и коммерческое предложения должны соответствовать требованиям Заказчика</w:t>
                  </w:r>
                  <w:r w:rsidRPr="00AA1C1D">
                    <w:rPr>
                      <w:rFonts w:ascii="Times New Roman" w:eastAsia="Times New Roman" w:hAnsi="Times New Roman" w:cs="Times New Roman"/>
                      <w:sz w:val="24"/>
                      <w:szCs w:val="24"/>
                      <w:lang w:eastAsia="ru-RU"/>
                    </w:rPr>
                    <w:br/>
                    <w:t>8.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AA1C1D">
                    <w:rPr>
                      <w:rFonts w:ascii="Times New Roman" w:eastAsia="Times New Roman" w:hAnsi="Times New Roman" w:cs="Times New Roman"/>
                      <w:sz w:val="24"/>
                      <w:szCs w:val="24"/>
                      <w:lang w:eastAsia="ru-RU"/>
                    </w:rPr>
                    <w:br/>
                    <w:t xml:space="preserve">9. </w:t>
                  </w:r>
                  <w:proofErr w:type="gramStart"/>
                  <w:r w:rsidRPr="00AA1C1D">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AA1C1D">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w:t>
                  </w:r>
                  <w:r w:rsidRPr="00AA1C1D">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AA1C1D">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AA1C1D">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AA1C1D">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AA1C1D">
                    <w:rPr>
                      <w:rFonts w:ascii="Times New Roman" w:eastAsia="Times New Roman" w:hAnsi="Times New Roman" w:cs="Times New Roman"/>
                      <w:sz w:val="24"/>
                      <w:szCs w:val="24"/>
                      <w:lang w:eastAsia="ru-RU"/>
                    </w:rPr>
                    <w:br/>
                  </w:r>
                  <w:r w:rsidRPr="00AA1C1D">
                    <w:rPr>
                      <w:rFonts w:ascii="Times New Roman" w:eastAsia="Times New Roman" w:hAnsi="Times New Roman" w:cs="Times New Roman"/>
                      <w:sz w:val="24"/>
                      <w:szCs w:val="24"/>
                      <w:lang w:eastAsia="ru-RU"/>
                    </w:rPr>
                    <w:lastRenderedPageBreak/>
                    <w:t>е) на имущество Участника не должен быть наложен арест;</w:t>
                  </w:r>
                  <w:r w:rsidRPr="00AA1C1D">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A1C1D">
                    <w:rPr>
                      <w:rFonts w:ascii="Times New Roman" w:eastAsia="Times New Roman" w:hAnsi="Times New Roman" w:cs="Times New Roman"/>
                      <w:sz w:val="24"/>
                      <w:szCs w:val="24"/>
                      <w:lang w:eastAsia="ru-RU"/>
                    </w:rPr>
                    <w:br/>
                  </w:r>
                  <w:proofErr w:type="gramStart"/>
                  <w:r w:rsidRPr="00AA1C1D">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AA1C1D">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A1C1D">
                    <w:rPr>
                      <w:rFonts w:ascii="Times New Roman" w:eastAsia="Times New Roman" w:hAnsi="Times New Roman" w:cs="Times New Roman"/>
                      <w:sz w:val="24"/>
                      <w:szCs w:val="24"/>
                      <w:lang w:eastAsia="ru-RU"/>
                    </w:rPr>
                    <w:t>Россети</w:t>
                  </w:r>
                  <w:proofErr w:type="spellEnd"/>
                  <w:r w:rsidRPr="00AA1C1D">
                    <w:rPr>
                      <w:rFonts w:ascii="Times New Roman" w:eastAsia="Times New Roman" w:hAnsi="Times New Roman" w:cs="Times New Roman"/>
                      <w:sz w:val="24"/>
                      <w:szCs w:val="24"/>
                      <w:lang w:eastAsia="ru-RU"/>
                    </w:rPr>
                    <w:t>», ДЗО (ВЗО) ОАО «</w:t>
                  </w:r>
                  <w:proofErr w:type="spellStart"/>
                  <w:r w:rsidRPr="00AA1C1D">
                    <w:rPr>
                      <w:rFonts w:ascii="Times New Roman" w:eastAsia="Times New Roman" w:hAnsi="Times New Roman" w:cs="Times New Roman"/>
                      <w:sz w:val="24"/>
                      <w:szCs w:val="24"/>
                      <w:lang w:eastAsia="ru-RU"/>
                    </w:rPr>
                    <w:t>Россети</w:t>
                  </w:r>
                  <w:proofErr w:type="spellEnd"/>
                  <w:r w:rsidRPr="00AA1C1D">
                    <w:rPr>
                      <w:rFonts w:ascii="Times New Roman" w:eastAsia="Times New Roman" w:hAnsi="Times New Roman" w:cs="Times New Roman"/>
                      <w:sz w:val="24"/>
                      <w:szCs w:val="24"/>
                      <w:lang w:eastAsia="ru-RU"/>
                    </w:rPr>
                    <w:t>», а также родственниками работников ОАО «</w:t>
                  </w:r>
                  <w:proofErr w:type="spellStart"/>
                  <w:r w:rsidRPr="00AA1C1D">
                    <w:rPr>
                      <w:rFonts w:ascii="Times New Roman" w:eastAsia="Times New Roman" w:hAnsi="Times New Roman" w:cs="Times New Roman"/>
                      <w:sz w:val="24"/>
                      <w:szCs w:val="24"/>
                      <w:lang w:eastAsia="ru-RU"/>
                    </w:rPr>
                    <w:t>Россети</w:t>
                  </w:r>
                  <w:proofErr w:type="spellEnd"/>
                  <w:r w:rsidRPr="00AA1C1D">
                    <w:rPr>
                      <w:rFonts w:ascii="Times New Roman" w:eastAsia="Times New Roman" w:hAnsi="Times New Roman" w:cs="Times New Roman"/>
                      <w:sz w:val="24"/>
                      <w:szCs w:val="24"/>
                      <w:lang w:eastAsia="ru-RU"/>
                    </w:rPr>
                    <w:t>», ДЗО (ВЗО) ОАО «</w:t>
                  </w:r>
                  <w:proofErr w:type="spellStart"/>
                  <w:r w:rsidRPr="00AA1C1D">
                    <w:rPr>
                      <w:rFonts w:ascii="Times New Roman" w:eastAsia="Times New Roman" w:hAnsi="Times New Roman" w:cs="Times New Roman"/>
                      <w:sz w:val="24"/>
                      <w:szCs w:val="24"/>
                      <w:lang w:eastAsia="ru-RU"/>
                    </w:rPr>
                    <w:t>Россети</w:t>
                  </w:r>
                  <w:proofErr w:type="spellEnd"/>
                  <w:r w:rsidRPr="00AA1C1D">
                    <w:rPr>
                      <w:rFonts w:ascii="Times New Roman" w:eastAsia="Times New Roman" w:hAnsi="Times New Roman" w:cs="Times New Roman"/>
                      <w:sz w:val="24"/>
                      <w:szCs w:val="24"/>
                      <w:lang w:eastAsia="ru-RU"/>
                    </w:rPr>
                    <w:t>»;</w:t>
                  </w:r>
                  <w:r w:rsidRPr="00AA1C1D">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AA1C1D">
                    <w:rPr>
                      <w:rFonts w:ascii="Times New Roman" w:eastAsia="Times New Roman" w:hAnsi="Times New Roman" w:cs="Times New Roman"/>
                      <w:sz w:val="24"/>
                      <w:szCs w:val="24"/>
                      <w:lang w:eastAsia="ru-RU"/>
                    </w:rPr>
                    <w:br/>
                    <w:t>л) отсутствие у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AA1C1D">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AA1C1D">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AA1C1D">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 (СЭБ ОАО "</w:t>
                  </w:r>
                  <w:proofErr w:type="spellStart"/>
                  <w:r w:rsidRPr="00AA1C1D">
                    <w:rPr>
                      <w:rFonts w:ascii="Times New Roman" w:eastAsia="Times New Roman" w:hAnsi="Times New Roman" w:cs="Times New Roman"/>
                      <w:sz w:val="24"/>
                      <w:szCs w:val="24"/>
                      <w:lang w:eastAsia="ru-RU"/>
                    </w:rPr>
                    <w:t>Тюменьэнерго</w:t>
                  </w:r>
                  <w:proofErr w:type="spellEnd"/>
                  <w:r w:rsidRPr="00AA1C1D">
                    <w:rPr>
                      <w:rFonts w:ascii="Times New Roman" w:eastAsia="Times New Roman" w:hAnsi="Times New Roman" w:cs="Times New Roman"/>
                      <w:sz w:val="24"/>
                      <w:szCs w:val="24"/>
                      <w:lang w:eastAsia="ru-RU"/>
                    </w:rPr>
                    <w:t>").</w:t>
                  </w:r>
                  <w:r w:rsidRPr="00AA1C1D">
                    <w:rPr>
                      <w:rFonts w:ascii="Times New Roman" w:eastAsia="Times New Roman" w:hAnsi="Times New Roman" w:cs="Times New Roman"/>
                      <w:sz w:val="24"/>
                      <w:szCs w:val="24"/>
                      <w:lang w:eastAsia="ru-RU"/>
                    </w:rPr>
                    <w:br/>
                  </w:r>
                  <w:r w:rsidRPr="00AA1C1D">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15" w:tgtFrame="_blank" w:history="1">
                    <w:r w:rsidR="00AA1C1D" w:rsidRPr="00AA1C1D">
                      <w:rPr>
                        <w:rFonts w:ascii="Times New Roman" w:eastAsia="Times New Roman" w:hAnsi="Times New Roman" w:cs="Times New Roman"/>
                        <w:color w:val="1C50A4"/>
                        <w:sz w:val="24"/>
                        <w:szCs w:val="24"/>
                        <w:u w:val="single"/>
                        <w:lang w:eastAsia="ru-RU"/>
                      </w:rPr>
                      <w:t>Скачать файл</w:t>
                    </w:r>
                    <w:r w:rsidR="00AA1C1D" w:rsidRPr="00AA1C1D">
                      <w:rPr>
                        <w:rFonts w:ascii="Times New Roman" w:eastAsia="Times New Roman" w:hAnsi="Times New Roman" w:cs="Times New Roman"/>
                        <w:color w:val="1C50A4"/>
                        <w:sz w:val="24"/>
                        <w:szCs w:val="24"/>
                        <w:lang w:eastAsia="ru-RU"/>
                      </w:rPr>
                      <w:t> </w:t>
                    </w:r>
                    <w:r w:rsidR="00AA1C1D" w:rsidRPr="00AA1C1D">
                      <w:rPr>
                        <w:rFonts w:ascii="Times New Roman" w:eastAsia="Times New Roman" w:hAnsi="Times New Roman" w:cs="Times New Roman"/>
                        <w:b/>
                        <w:bCs/>
                        <w:color w:val="1C50A4"/>
                        <w:sz w:val="24"/>
                        <w:szCs w:val="24"/>
                        <w:u w:val="single"/>
                        <w:lang w:eastAsia="ru-RU"/>
                      </w:rPr>
                      <w:t>КД.zip</w:t>
                    </w:r>
                  </w:hyperlink>
                  <w:r w:rsidR="00AA1C1D" w:rsidRPr="00AA1C1D">
                    <w:rPr>
                      <w:rFonts w:ascii="Times New Roman" w:eastAsia="Times New Roman" w:hAnsi="Times New Roman" w:cs="Times New Roman"/>
                      <w:sz w:val="24"/>
                      <w:szCs w:val="24"/>
                      <w:lang w:eastAsia="ru-RU"/>
                    </w:rPr>
                    <w:t> (16.7 Мб)</w:t>
                  </w:r>
                </w:p>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16" w:history="1">
                    <w:r w:rsidR="00AA1C1D" w:rsidRPr="00AA1C1D">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17" w:tgtFrame="signature" w:history="1">
                    <w:r w:rsidR="00AA1C1D" w:rsidRPr="00AA1C1D">
                      <w:rPr>
                        <w:rFonts w:ascii="Times New Roman" w:eastAsia="Times New Roman" w:hAnsi="Times New Roman" w:cs="Times New Roman"/>
                        <w:color w:val="1C50A4"/>
                        <w:sz w:val="24"/>
                        <w:szCs w:val="24"/>
                        <w:u w:val="single"/>
                        <w:lang w:eastAsia="ru-RU"/>
                      </w:rPr>
                      <w:t>Подписана ЭП</w:t>
                    </w:r>
                  </w:hyperlink>
                </w:p>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18" w:history="1">
                    <w:r w:rsidR="00AA1C1D" w:rsidRPr="00AA1C1D">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A1C1D">
                    <w:rPr>
                      <w:rFonts w:ascii="Times New Roman" w:eastAsia="Times New Roman" w:hAnsi="Times New Roman" w:cs="Times New Roman"/>
                      <w:sz w:val="24"/>
                      <w:szCs w:val="24"/>
                      <w:lang w:eastAsia="ru-RU"/>
                    </w:rPr>
                    <w:t>с даты размещения</w:t>
                  </w:r>
                  <w:proofErr w:type="gramEnd"/>
                  <w:r w:rsidRPr="00AA1C1D">
                    <w:rPr>
                      <w:rFonts w:ascii="Times New Roman" w:eastAsia="Times New Roman" w:hAnsi="Times New Roman" w:cs="Times New Roman"/>
                      <w:sz w:val="24"/>
                      <w:szCs w:val="24"/>
                      <w:lang w:eastAsia="ru-RU"/>
                    </w:rPr>
                    <w:t xml:space="preserve"> закупки.</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lastRenderedPageBreak/>
                    <w:t>Обеспечение конкурсных заявок, кроме банковских гарантий:</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AA1C1D">
                    <w:rPr>
                      <w:rFonts w:ascii="Times New Roman" w:eastAsia="Times New Roman" w:hAnsi="Times New Roman" w:cs="Times New Roman"/>
                      <w:sz w:val="24"/>
                      <w:szCs w:val="24"/>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AA1C1D">
                    <w:rPr>
                      <w:rFonts w:ascii="Times New Roman" w:eastAsia="Times New Roman" w:hAnsi="Times New Roman" w:cs="Times New Roman"/>
                      <w:sz w:val="24"/>
                      <w:szCs w:val="24"/>
                      <w:lang w:eastAsia="ru-RU"/>
                    </w:rPr>
                    <w:br/>
                  </w:r>
                  <w:r w:rsidRPr="00AA1C1D">
                    <w:rPr>
                      <w:rFonts w:ascii="Times New Roman" w:eastAsia="Times New Roman" w:hAnsi="Times New Roman" w:cs="Times New Roman"/>
                      <w:sz w:val="24"/>
                      <w:szCs w:val="24"/>
                      <w:lang w:eastAsia="ru-RU"/>
                    </w:rPr>
                    <w:br/>
                    <w:t>Исполнение обязательств Подрядчиком по договору обеспечивается:</w:t>
                  </w:r>
                  <w:r w:rsidRPr="00AA1C1D">
                    <w:rPr>
                      <w:rFonts w:ascii="Times New Roman" w:eastAsia="Times New Roman" w:hAnsi="Times New Roman" w:cs="Times New Roman"/>
                      <w:sz w:val="24"/>
                      <w:szCs w:val="24"/>
                      <w:lang w:eastAsia="ru-RU"/>
                    </w:rPr>
                    <w:br/>
                    <w:t>Финансовым обеспечением исполнения обязательств в размере не менее 3% от стоимости заявки с учетом налогов.</w:t>
                  </w:r>
                  <w:r w:rsidRPr="00AA1C1D">
                    <w:rPr>
                      <w:rFonts w:ascii="Times New Roman" w:eastAsia="Times New Roman" w:hAnsi="Times New Roman" w:cs="Times New Roman"/>
                      <w:sz w:val="24"/>
                      <w:szCs w:val="24"/>
                      <w:lang w:eastAsia="ru-RU"/>
                    </w:rPr>
                    <w:br/>
                  </w:r>
                  <w:r w:rsidRPr="00AA1C1D">
                    <w:rPr>
                      <w:rFonts w:ascii="Times New Roman" w:eastAsia="Times New Roman" w:hAnsi="Times New Roman" w:cs="Times New Roman"/>
                      <w:sz w:val="24"/>
                      <w:szCs w:val="24"/>
                      <w:lang w:eastAsia="ru-RU"/>
                    </w:rPr>
                    <w:br/>
                    <w:t>Срок внесения/ предоставления:</w:t>
                  </w:r>
                  <w:r w:rsidRPr="00AA1C1D">
                    <w:rPr>
                      <w:rFonts w:ascii="Times New Roman" w:eastAsia="Times New Roman" w:hAnsi="Times New Roman" w:cs="Times New Roman"/>
                      <w:sz w:val="24"/>
                      <w:szCs w:val="24"/>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r w:rsidRPr="00AA1C1D">
                    <w:rPr>
                      <w:rFonts w:ascii="Times New Roman" w:eastAsia="Times New Roman" w:hAnsi="Times New Roman" w:cs="Times New Roman"/>
                      <w:sz w:val="24"/>
                      <w:szCs w:val="24"/>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AA1C1D">
                    <w:rPr>
                      <w:rFonts w:ascii="Times New Roman" w:eastAsia="Times New Roman" w:hAnsi="Times New Roman" w:cs="Times New Roman"/>
                      <w:sz w:val="24"/>
                      <w:szCs w:val="24"/>
                      <w:lang w:eastAsia="ru-RU"/>
                    </w:rPr>
                    <w:t>дств в д</w:t>
                  </w:r>
                  <w:proofErr w:type="gramEnd"/>
                  <w:r w:rsidRPr="00AA1C1D">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Цена с НДС</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Вскрытие конвертов с заявками состоится </w:t>
                  </w:r>
                  <w:r w:rsidRPr="00AA1C1D">
                    <w:rPr>
                      <w:rFonts w:ascii="Times New Roman" w:eastAsia="Times New Roman" w:hAnsi="Times New Roman" w:cs="Times New Roman"/>
                      <w:b/>
                      <w:bCs/>
                      <w:sz w:val="24"/>
                      <w:szCs w:val="24"/>
                      <w:lang w:eastAsia="ru-RU"/>
                    </w:rPr>
                    <w:t>07.11.2014 в 09:00 по московскому времени</w:t>
                  </w:r>
                  <w:r w:rsidRPr="00AA1C1D">
                    <w:rPr>
                      <w:rFonts w:ascii="Times New Roman" w:eastAsia="Times New Roman" w:hAnsi="Times New Roman" w:cs="Times New Roman"/>
                      <w:sz w:val="24"/>
                      <w:szCs w:val="24"/>
                      <w:lang w:eastAsia="ru-RU"/>
                    </w:rPr>
                    <w:t>.</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27.11.2014 15:00</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proofErr w:type="gramStart"/>
                  <w:r w:rsidRPr="00AA1C1D">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05.12.2014 15:00</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proofErr w:type="gramStart"/>
                  <w:r w:rsidRPr="00AA1C1D">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w:t>
                  </w:r>
                  <w:r w:rsidRPr="00AA1C1D">
                    <w:rPr>
                      <w:rFonts w:ascii="Times New Roman" w:eastAsia="Times New Roman" w:hAnsi="Times New Roman" w:cs="Times New Roman"/>
                      <w:sz w:val="24"/>
                      <w:szCs w:val="24"/>
                      <w:lang w:eastAsia="ru-RU"/>
                    </w:rPr>
                    <w:lastRenderedPageBreak/>
                    <w:t xml:space="preserve">заняла первое место в итоговой </w:t>
                  </w:r>
                  <w:proofErr w:type="spellStart"/>
                  <w:r w:rsidRPr="00AA1C1D">
                    <w:rPr>
                      <w:rFonts w:ascii="Times New Roman" w:eastAsia="Times New Roman" w:hAnsi="Times New Roman" w:cs="Times New Roman"/>
                      <w:sz w:val="24"/>
                      <w:szCs w:val="24"/>
                      <w:lang w:eastAsia="ru-RU"/>
                    </w:rPr>
                    <w:t>ранжировке</w:t>
                  </w:r>
                  <w:proofErr w:type="spellEnd"/>
                  <w:r w:rsidRPr="00AA1C1D">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lastRenderedPageBreak/>
                    <w:t>Лимитная (начальная) цена закупки:</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Лот № 1. 25 169 673,74 руб. (цена с НДС)</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AA1C1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A1C1D">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A1C1D">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19" w:history="1">
                    <w:r w:rsidR="00AA1C1D" w:rsidRPr="00AA1C1D">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3677"/>
                  </w:tblGrid>
                  <w:tr w:rsidR="00AA1C1D" w:rsidRPr="00AA1C1D">
                    <w:trPr>
                      <w:tblCellSpacing w:w="15" w:type="dxa"/>
                    </w:trPr>
                    <w:tc>
                      <w:tcPr>
                        <w:tcW w:w="3750" w:type="dxa"/>
                        <w:tcMar>
                          <w:top w:w="45" w:type="dxa"/>
                          <w:left w:w="45" w:type="dxa"/>
                          <w:bottom w:w="45" w:type="dxa"/>
                          <w:right w:w="45" w:type="dxa"/>
                        </w:tcMar>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b/>
                            <w:bCs/>
                            <w:sz w:val="24"/>
                            <w:szCs w:val="24"/>
                            <w:lang w:eastAsia="ru-RU"/>
                          </w:rPr>
                          <w:t>Извещение [</w:t>
                        </w:r>
                        <w:hyperlink r:id="rId20" w:history="1">
                          <w:r w:rsidRPr="00AA1C1D">
                            <w:rPr>
                              <w:rFonts w:ascii="Times New Roman" w:eastAsia="Times New Roman" w:hAnsi="Times New Roman" w:cs="Times New Roman"/>
                              <w:b/>
                              <w:bCs/>
                              <w:color w:val="1C50A4"/>
                              <w:sz w:val="24"/>
                              <w:szCs w:val="24"/>
                              <w:u w:val="single"/>
                              <w:lang w:eastAsia="ru-RU"/>
                            </w:rPr>
                            <w:t>XML</w:t>
                          </w:r>
                        </w:hyperlink>
                        <w:r w:rsidRPr="00AA1C1D">
                          <w:rPr>
                            <w:rFonts w:ascii="Times New Roman" w:eastAsia="Times New Roman" w:hAnsi="Times New Roman" w:cs="Times New Roman"/>
                            <w:b/>
                            <w:bCs/>
                            <w:sz w:val="24"/>
                            <w:szCs w:val="24"/>
                            <w:lang w:eastAsia="ru-RU"/>
                          </w:rPr>
                          <w:t>]</w:t>
                        </w:r>
                      </w:p>
                      <w:p w:rsidR="00AA1C1D" w:rsidRPr="00AA1C1D" w:rsidRDefault="00AA1C1D" w:rsidP="00AA1C1D">
                        <w:pPr>
                          <w:spacing w:before="100" w:beforeAutospacing="1" w:after="100" w:afterAutospacing="1"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b/>
                            <w:bCs/>
                            <w:color w:val="006600"/>
                            <w:sz w:val="24"/>
                            <w:szCs w:val="24"/>
                            <w:lang w:eastAsia="ru-RU"/>
                          </w:rPr>
                          <w:t>Выгружено</w:t>
                        </w:r>
                        <w:r w:rsidRPr="00AA1C1D">
                          <w:rPr>
                            <w:rFonts w:ascii="Times New Roman" w:eastAsia="Times New Roman" w:hAnsi="Times New Roman" w:cs="Times New Roman"/>
                            <w:color w:val="006600"/>
                            <w:sz w:val="24"/>
                            <w:szCs w:val="24"/>
                            <w:lang w:eastAsia="ru-RU"/>
                          </w:rPr>
                          <w:br/>
                          <w:t>10.10.2014 11:10:02 (версия 1)</w:t>
                        </w:r>
                        <w:r w:rsidRPr="00AA1C1D">
                          <w:rPr>
                            <w:rFonts w:ascii="Times New Roman" w:eastAsia="Times New Roman" w:hAnsi="Times New Roman" w:cs="Times New Roman"/>
                            <w:sz w:val="24"/>
                            <w:szCs w:val="24"/>
                            <w:lang w:eastAsia="ru-RU"/>
                          </w:rPr>
                          <w:t> </w:t>
                        </w:r>
                        <w:r w:rsidRPr="00AA1C1D">
                          <w:rPr>
                            <w:rFonts w:ascii="Times New Roman" w:eastAsia="Times New Roman" w:hAnsi="Times New Roman" w:cs="Times New Roman"/>
                            <w:sz w:val="24"/>
                            <w:szCs w:val="24"/>
                            <w:lang w:eastAsia="ru-RU"/>
                          </w:rPr>
                          <w:br/>
                          <w:t>[</w:t>
                        </w:r>
                        <w:hyperlink r:id="rId21" w:history="1">
                          <w:r w:rsidRPr="00AA1C1D">
                            <w:rPr>
                              <w:rFonts w:ascii="Times New Roman" w:eastAsia="Times New Roman" w:hAnsi="Times New Roman" w:cs="Times New Roman"/>
                              <w:color w:val="1C50A4"/>
                              <w:sz w:val="24"/>
                              <w:szCs w:val="24"/>
                              <w:u w:val="single"/>
                              <w:lang w:eastAsia="ru-RU"/>
                            </w:rPr>
                            <w:t>Выгрузить повторно</w:t>
                          </w:r>
                        </w:hyperlink>
                        <w:r w:rsidRPr="00AA1C1D">
                          <w:rPr>
                            <w:rFonts w:ascii="Times New Roman" w:eastAsia="Times New Roman" w:hAnsi="Times New Roman" w:cs="Times New Roman"/>
                            <w:sz w:val="24"/>
                            <w:szCs w:val="24"/>
                            <w:lang w:eastAsia="ru-RU"/>
                          </w:rPr>
                          <w:t>]</w:t>
                        </w:r>
                      </w:p>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b/>
                            <w:bCs/>
                            <w:sz w:val="24"/>
                            <w:szCs w:val="24"/>
                            <w:lang w:eastAsia="ru-RU"/>
                          </w:rPr>
                          <w:t>Номер извещения на ОС:</w:t>
                        </w:r>
                      </w:p>
                      <w:p w:rsidR="00AA1C1D" w:rsidRPr="00AA1C1D" w:rsidRDefault="004D3DA0" w:rsidP="00AA1C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31401590060</w:t>
                        </w:r>
                        <w:bookmarkStart w:id="0" w:name="_GoBack"/>
                        <w:bookmarkEnd w:id="0"/>
                      </w:p>
                      <w:p w:rsidR="00AA1C1D" w:rsidRPr="00AA1C1D" w:rsidRDefault="00AA1C1D" w:rsidP="00AA1C1D">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b/>
                            <w:bCs/>
                            <w:sz w:val="24"/>
                            <w:szCs w:val="24"/>
                            <w:lang w:eastAsia="ru-RU"/>
                          </w:rPr>
                          <w:t>Протоколы</w:t>
                        </w:r>
                      </w:p>
                      <w:p w:rsidR="00AA1C1D" w:rsidRPr="00AA1C1D" w:rsidRDefault="00AA1C1D" w:rsidP="00AA1C1D">
                        <w:pPr>
                          <w:spacing w:before="100" w:beforeAutospacing="1" w:after="100" w:afterAutospacing="1"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Протоколы отсутствуют</w:t>
                        </w:r>
                      </w:p>
                    </w:tc>
                  </w:tr>
                </w:tbl>
                <w:p w:rsidR="00AA1C1D" w:rsidRPr="00AA1C1D" w:rsidRDefault="00AA1C1D" w:rsidP="00AA1C1D">
                  <w:pPr>
                    <w:spacing w:after="0" w:line="240" w:lineRule="auto"/>
                    <w:rPr>
                      <w:rFonts w:ascii="Times New Roman" w:eastAsia="Times New Roman" w:hAnsi="Times New Roman" w:cs="Times New Roman"/>
                      <w:sz w:val="24"/>
                      <w:szCs w:val="24"/>
                      <w:lang w:eastAsia="ru-RU"/>
                    </w:rPr>
                  </w:pPr>
                </w:p>
              </w:tc>
            </w:tr>
            <w:tr w:rsidR="00AA1C1D" w:rsidRPr="00AA1C1D">
              <w:trPr>
                <w:tblCellSpacing w:w="0" w:type="dxa"/>
              </w:trPr>
              <w:tc>
                <w:tcPr>
                  <w:tcW w:w="0" w:type="auto"/>
                  <w:shd w:val="clear" w:color="auto" w:fill="F7F7F7"/>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AA1C1D" w:rsidRPr="00AA1C1D" w:rsidRDefault="00AA1C1D" w:rsidP="00AA1C1D">
                  <w:pPr>
                    <w:spacing w:after="0" w:line="240" w:lineRule="auto"/>
                    <w:rPr>
                      <w:rFonts w:ascii="Times New Roman" w:eastAsia="Times New Roman" w:hAnsi="Times New Roman" w:cs="Times New Roman"/>
                      <w:sz w:val="24"/>
                      <w:szCs w:val="24"/>
                      <w:lang w:eastAsia="ru-RU"/>
                    </w:rPr>
                  </w:pPr>
                  <w:r w:rsidRPr="00AA1C1D">
                    <w:rPr>
                      <w:rFonts w:ascii="Times New Roman" w:eastAsia="Times New Roman" w:hAnsi="Times New Roman" w:cs="Times New Roman"/>
                      <w:sz w:val="24"/>
                      <w:szCs w:val="24"/>
                      <w:lang w:eastAsia="ru-RU"/>
                    </w:rPr>
                    <w:t>10.10.2014 06:16, </w:t>
                  </w:r>
                  <w:proofErr w:type="spellStart"/>
                  <w:r w:rsidRPr="00AA1C1D">
                    <w:rPr>
                      <w:rFonts w:ascii="Times New Roman" w:eastAsia="Times New Roman" w:hAnsi="Times New Roman" w:cs="Times New Roman"/>
                      <w:sz w:val="24"/>
                      <w:szCs w:val="24"/>
                      <w:lang w:eastAsia="ru-RU"/>
                    </w:rPr>
                    <w:fldChar w:fldCharType="begin"/>
                  </w:r>
                  <w:r w:rsidRPr="00AA1C1D">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AA1C1D">
                    <w:rPr>
                      <w:rFonts w:ascii="Times New Roman" w:eastAsia="Times New Roman" w:hAnsi="Times New Roman" w:cs="Times New Roman"/>
                      <w:sz w:val="24"/>
                      <w:szCs w:val="24"/>
                      <w:lang w:eastAsia="ru-RU"/>
                    </w:rPr>
                    <w:fldChar w:fldCharType="separate"/>
                  </w:r>
                  <w:r w:rsidRPr="00AA1C1D">
                    <w:rPr>
                      <w:rFonts w:ascii="Times New Roman" w:eastAsia="Times New Roman" w:hAnsi="Times New Roman" w:cs="Times New Roman"/>
                      <w:color w:val="1C50A4"/>
                      <w:sz w:val="24"/>
                      <w:szCs w:val="24"/>
                      <w:u w:val="single"/>
                      <w:lang w:eastAsia="ru-RU"/>
                    </w:rPr>
                    <w:t>Туниекова</w:t>
                  </w:r>
                  <w:proofErr w:type="spellEnd"/>
                  <w:r w:rsidRPr="00AA1C1D">
                    <w:rPr>
                      <w:rFonts w:ascii="Times New Roman" w:eastAsia="Times New Roman" w:hAnsi="Times New Roman" w:cs="Times New Roman"/>
                      <w:color w:val="1C50A4"/>
                      <w:sz w:val="24"/>
                      <w:szCs w:val="24"/>
                      <w:u w:val="single"/>
                      <w:lang w:eastAsia="ru-RU"/>
                    </w:rPr>
                    <w:t xml:space="preserve"> Ольга Юрьевна</w:t>
                  </w:r>
                  <w:r w:rsidRPr="00AA1C1D">
                    <w:rPr>
                      <w:rFonts w:ascii="Times New Roman" w:eastAsia="Times New Roman" w:hAnsi="Times New Roman" w:cs="Times New Roman"/>
                      <w:sz w:val="24"/>
                      <w:szCs w:val="24"/>
                      <w:lang w:eastAsia="ru-RU"/>
                    </w:rPr>
                    <w:fldChar w:fldCharType="end"/>
                  </w:r>
                </w:p>
              </w:tc>
            </w:tr>
            <w:tr w:rsidR="00AA1C1D" w:rsidRPr="00AA1C1D">
              <w:trPr>
                <w:tblCellSpacing w:w="0" w:type="dxa"/>
              </w:trPr>
              <w:tc>
                <w:tcPr>
                  <w:tcW w:w="0" w:type="auto"/>
                  <w:shd w:val="clear" w:color="auto" w:fill="E9E9E9"/>
                  <w:hideMark/>
                </w:tcPr>
                <w:p w:rsidR="00AA1C1D" w:rsidRPr="00AA1C1D" w:rsidRDefault="00AA1C1D" w:rsidP="00AA1C1D">
                  <w:pPr>
                    <w:spacing w:after="0" w:line="240" w:lineRule="auto"/>
                    <w:jc w:val="right"/>
                    <w:rPr>
                      <w:rFonts w:ascii="Times New Roman" w:eastAsia="Times New Roman" w:hAnsi="Times New Roman" w:cs="Times New Roman"/>
                      <w:sz w:val="18"/>
                      <w:szCs w:val="18"/>
                      <w:lang w:eastAsia="ru-RU"/>
                    </w:rPr>
                  </w:pPr>
                  <w:r w:rsidRPr="00AA1C1D">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AA1C1D" w:rsidRPr="00AA1C1D" w:rsidRDefault="004D3DA0" w:rsidP="00AA1C1D">
                  <w:pPr>
                    <w:spacing w:after="0" w:line="240" w:lineRule="auto"/>
                    <w:rPr>
                      <w:rFonts w:ascii="Times New Roman" w:eastAsia="Times New Roman" w:hAnsi="Times New Roman" w:cs="Times New Roman"/>
                      <w:sz w:val="24"/>
                      <w:szCs w:val="24"/>
                      <w:lang w:eastAsia="ru-RU"/>
                    </w:rPr>
                  </w:pPr>
                  <w:hyperlink r:id="rId22" w:tgtFrame="signature" w:history="1">
                    <w:r w:rsidR="00AA1C1D" w:rsidRPr="00AA1C1D">
                      <w:rPr>
                        <w:rFonts w:ascii="Times New Roman" w:eastAsia="Times New Roman" w:hAnsi="Times New Roman" w:cs="Times New Roman"/>
                        <w:color w:val="1C50A4"/>
                        <w:sz w:val="24"/>
                        <w:szCs w:val="24"/>
                        <w:u w:val="single"/>
                        <w:lang w:eastAsia="ru-RU"/>
                      </w:rPr>
                      <w:t>Подписано ЭП</w:t>
                    </w:r>
                  </w:hyperlink>
                </w:p>
              </w:tc>
            </w:tr>
          </w:tbl>
          <w:p w:rsidR="00AA1C1D" w:rsidRPr="00AA1C1D" w:rsidRDefault="00AA1C1D" w:rsidP="00AA1C1D">
            <w:pPr>
              <w:spacing w:after="0" w:line="240" w:lineRule="auto"/>
              <w:rPr>
                <w:rFonts w:ascii="Arial" w:eastAsia="Times New Roman" w:hAnsi="Arial" w:cs="Arial"/>
                <w:color w:val="000000"/>
                <w:sz w:val="18"/>
                <w:szCs w:val="18"/>
                <w:lang w:eastAsia="ru-RU"/>
              </w:rPr>
            </w:pPr>
          </w:p>
        </w:tc>
      </w:tr>
    </w:tbl>
    <w:p w:rsidR="006F6B5F" w:rsidRDefault="006F6B5F"/>
    <w:sectPr w:rsidR="006F6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1D"/>
    <w:rsid w:val="004D3DA0"/>
    <w:rsid w:val="006F6B5F"/>
    <w:rsid w:val="00AA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57373">
      <w:bodyDiv w:val="1"/>
      <w:marLeft w:val="0"/>
      <w:marRight w:val="0"/>
      <w:marTop w:val="0"/>
      <w:marBottom w:val="0"/>
      <w:divBdr>
        <w:top w:val="none" w:sz="0" w:space="0" w:color="auto"/>
        <w:left w:val="none" w:sz="0" w:space="0" w:color="auto"/>
        <w:bottom w:val="none" w:sz="0" w:space="0" w:color="auto"/>
        <w:right w:val="none" w:sz="0" w:space="0" w:color="auto"/>
      </w:divBdr>
      <w:divsChild>
        <w:div w:id="1608000928">
          <w:marLeft w:val="0"/>
          <w:marRight w:val="15"/>
          <w:marTop w:val="0"/>
          <w:marBottom w:val="30"/>
          <w:divBdr>
            <w:top w:val="none" w:sz="0" w:space="0" w:color="auto"/>
            <w:left w:val="none" w:sz="0" w:space="0" w:color="auto"/>
            <w:bottom w:val="none" w:sz="0" w:space="0" w:color="auto"/>
            <w:right w:val="none" w:sz="0" w:space="0" w:color="auto"/>
          </w:divBdr>
        </w:div>
        <w:div w:id="2018193928">
          <w:marLeft w:val="0"/>
          <w:marRight w:val="15"/>
          <w:marTop w:val="0"/>
          <w:marBottom w:val="30"/>
          <w:divBdr>
            <w:top w:val="none" w:sz="0" w:space="0" w:color="auto"/>
            <w:left w:val="none" w:sz="0" w:space="0" w:color="auto"/>
            <w:bottom w:val="none" w:sz="0" w:space="0" w:color="auto"/>
            <w:right w:val="none" w:sz="0" w:space="0" w:color="auto"/>
          </w:divBdr>
        </w:div>
        <w:div w:id="2072190129">
          <w:marLeft w:val="0"/>
          <w:marRight w:val="15"/>
          <w:marTop w:val="0"/>
          <w:marBottom w:val="30"/>
          <w:divBdr>
            <w:top w:val="none" w:sz="0" w:space="0" w:color="auto"/>
            <w:left w:val="none" w:sz="0" w:space="0" w:color="auto"/>
            <w:bottom w:val="none" w:sz="0" w:space="0" w:color="auto"/>
            <w:right w:val="none" w:sz="0" w:space="0" w:color="auto"/>
          </w:divBdr>
        </w:div>
        <w:div w:id="1136995133">
          <w:marLeft w:val="0"/>
          <w:marRight w:val="15"/>
          <w:marTop w:val="0"/>
          <w:marBottom w:val="30"/>
          <w:divBdr>
            <w:top w:val="none" w:sz="0" w:space="0" w:color="auto"/>
            <w:left w:val="none" w:sz="0" w:space="0" w:color="auto"/>
            <w:bottom w:val="none" w:sz="0" w:space="0" w:color="auto"/>
            <w:right w:val="none" w:sz="0" w:space="0" w:color="auto"/>
          </w:divBdr>
        </w:div>
        <w:div w:id="1520657727">
          <w:marLeft w:val="0"/>
          <w:marRight w:val="15"/>
          <w:marTop w:val="0"/>
          <w:marBottom w:val="30"/>
          <w:divBdr>
            <w:top w:val="none" w:sz="0" w:space="0" w:color="auto"/>
            <w:left w:val="none" w:sz="0" w:space="0" w:color="auto"/>
            <w:bottom w:val="none" w:sz="0" w:space="0" w:color="auto"/>
            <w:right w:val="none" w:sz="0" w:space="0" w:color="auto"/>
          </w:divBdr>
        </w:div>
        <w:div w:id="1321496396">
          <w:marLeft w:val="0"/>
          <w:marRight w:val="15"/>
          <w:marTop w:val="0"/>
          <w:marBottom w:val="30"/>
          <w:divBdr>
            <w:top w:val="none" w:sz="0" w:space="0" w:color="auto"/>
            <w:left w:val="none" w:sz="0" w:space="0" w:color="auto"/>
            <w:bottom w:val="none" w:sz="0" w:space="0" w:color="auto"/>
            <w:right w:val="none" w:sz="0" w:space="0" w:color="auto"/>
          </w:divBdr>
        </w:div>
        <w:div w:id="822544286">
          <w:marLeft w:val="0"/>
          <w:marRight w:val="60"/>
          <w:marTop w:val="60"/>
          <w:marBottom w:val="60"/>
          <w:divBdr>
            <w:top w:val="none" w:sz="0" w:space="0" w:color="auto"/>
            <w:left w:val="none" w:sz="0" w:space="0" w:color="auto"/>
            <w:bottom w:val="none" w:sz="0" w:space="0" w:color="auto"/>
            <w:right w:val="none" w:sz="0" w:space="0" w:color="auto"/>
          </w:divBdr>
          <w:divsChild>
            <w:div w:id="508056753">
              <w:marLeft w:val="0"/>
              <w:marRight w:val="0"/>
              <w:marTop w:val="0"/>
              <w:marBottom w:val="0"/>
              <w:divBdr>
                <w:top w:val="none" w:sz="0" w:space="0" w:color="auto"/>
                <w:left w:val="none" w:sz="0" w:space="0" w:color="auto"/>
                <w:bottom w:val="none" w:sz="0" w:space="0" w:color="auto"/>
                <w:right w:val="none" w:sz="0" w:space="0" w:color="auto"/>
              </w:divBdr>
            </w:div>
          </w:divsChild>
        </w:div>
        <w:div w:id="1404522557">
          <w:marLeft w:val="0"/>
          <w:marRight w:val="0"/>
          <w:marTop w:val="0"/>
          <w:marBottom w:val="0"/>
          <w:divBdr>
            <w:top w:val="none" w:sz="0" w:space="0" w:color="auto"/>
            <w:left w:val="none" w:sz="0" w:space="0" w:color="auto"/>
            <w:bottom w:val="none" w:sz="0" w:space="0" w:color="auto"/>
            <w:right w:val="none" w:sz="0" w:space="0" w:color="auto"/>
          </w:divBdr>
        </w:div>
        <w:div w:id="1154298223">
          <w:marLeft w:val="0"/>
          <w:marRight w:val="0"/>
          <w:marTop w:val="0"/>
          <w:marBottom w:val="0"/>
          <w:divBdr>
            <w:top w:val="none" w:sz="0" w:space="0" w:color="auto"/>
            <w:left w:val="none" w:sz="0" w:space="0" w:color="auto"/>
            <w:bottom w:val="none" w:sz="0" w:space="0" w:color="auto"/>
            <w:right w:val="none" w:sz="0" w:space="0" w:color="auto"/>
          </w:divBdr>
        </w:div>
        <w:div w:id="338042385">
          <w:marLeft w:val="0"/>
          <w:marRight w:val="0"/>
          <w:marTop w:val="0"/>
          <w:marBottom w:val="0"/>
          <w:divBdr>
            <w:top w:val="none" w:sz="0" w:space="0" w:color="auto"/>
            <w:left w:val="none" w:sz="0" w:space="0" w:color="auto"/>
            <w:bottom w:val="none" w:sz="0" w:space="0" w:color="auto"/>
            <w:right w:val="none" w:sz="0" w:space="0" w:color="auto"/>
          </w:divBdr>
        </w:div>
        <w:div w:id="27224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266&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2266"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2266&amp;zgr=add_to_queue" TargetMode="External"/><Relationship Id="rId7" Type="http://schemas.openxmlformats.org/officeDocument/2006/relationships/hyperlink" Target="http://www.b2b-mrsk.ru/market/view_tender.html?id=42266&amp;action=invitations" TargetMode="External"/><Relationship Id="rId12" Type="http://schemas.openxmlformats.org/officeDocument/2006/relationships/hyperlink" Target="http://www.b2b-mrsk.ru/market/list_tenders.html?open=1&amp;all=0&amp;cat_id=54010419" TargetMode="External"/><Relationship Id="rId17" Type="http://schemas.openxmlformats.org/officeDocument/2006/relationships/hyperlink" Target="http://www.b2b-mrsk.ru/market/view_tender.html?id=42266&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2266&amp;action=docs" TargetMode="External"/><Relationship Id="rId20" Type="http://schemas.openxmlformats.org/officeDocument/2006/relationships/hyperlink" Target="http://www.b2b-mrsk.ru/market/view_tender.html?id=42266&amp;zgr=get_xml" TargetMode="External"/><Relationship Id="rId1" Type="http://schemas.openxmlformats.org/officeDocument/2006/relationships/styles" Target="styles.xml"/><Relationship Id="rId6" Type="http://schemas.openxmlformats.org/officeDocument/2006/relationships/hyperlink" Target="http://www.b2b-mrsk.ru/market/view_tender.html?id=42266&amp;action=explanation" TargetMode="External"/><Relationship Id="rId11" Type="http://schemas.openxmlformats.org/officeDocument/2006/relationships/hyperlink" Target="http://www.b2b-mrsk.ru/market/list_tenders.html?open=1&amp;all=0&amp;cat_id=54010419" TargetMode="External"/><Relationship Id="rId24" Type="http://schemas.openxmlformats.org/officeDocument/2006/relationships/theme" Target="theme/theme1.xml"/><Relationship Id="rId5" Type="http://schemas.openxmlformats.org/officeDocument/2006/relationships/hyperlink" Target="http://www.b2b-mrsk.ru/market/view_tender.html?id=42266&amp;show=lots" TargetMode="External"/><Relationship Id="rId15" Type="http://schemas.openxmlformats.org/officeDocument/2006/relationships/hyperlink" Target="http://www.b2b-mrsk.ru/download.html?file=file%2F12061208.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2266" TargetMode="External"/><Relationship Id="rId4" Type="http://schemas.openxmlformats.org/officeDocument/2006/relationships/webSettings" Target="webSettings.xml"/><Relationship Id="rId9" Type="http://schemas.openxmlformats.org/officeDocument/2006/relationships/hyperlink" Target="http://www.b2b-mrsk.ru/market/view_tender.html?id=42266&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226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2152</Words>
  <Characters>12272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2</cp:revision>
  <dcterms:created xsi:type="dcterms:W3CDTF">2014-10-10T07:15:00Z</dcterms:created>
  <dcterms:modified xsi:type="dcterms:W3CDTF">2014-10-10T08:20:00Z</dcterms:modified>
</cp:coreProperties>
</file>