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8910"/>
      </w:tblGrid>
      <w:tr w:rsidR="0088577B" w:rsidRPr="0088577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"/>
              <w:gridCol w:w="150"/>
            </w:tblGrid>
            <w:tr w:rsidR="0088577B" w:rsidRPr="0088577B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tcMar>
                    <w:top w:w="45" w:type="dxa"/>
                    <w:left w:w="10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88577B" w:rsidRPr="0088577B" w:rsidRDefault="0088577B" w:rsidP="008857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577B">
                    <w:rPr>
                      <w:rFonts w:ascii="Arial" w:eastAsia="Times New Roman" w:hAnsi="Arial" w:cs="Arial"/>
                      <w:noProof/>
                      <w:color w:val="1C50A4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D405CA2" wp14:editId="66AE2992">
                        <wp:extent cx="120650" cy="819785"/>
                        <wp:effectExtent l="0" t="0" r="0" b="0"/>
                        <wp:docPr id="5" name="menu_button" descr="http://www.b2b-mrsk.ru/images/center/arrow_out.gif">
                          <a:hlinkClick xmlns:a="http://schemas.openxmlformats.org/drawingml/2006/main" r:id="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nu_button" descr="http://www.b2b-mrsk.ru/images/center/arrow_out.gif">
                                  <a:hlinkClick r:id="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819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8577B" w:rsidRPr="0088577B" w:rsidRDefault="0088577B" w:rsidP="00885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577B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92E5CCF" wp14:editId="0D92C07E">
                        <wp:extent cx="94615" cy="3674745"/>
                        <wp:effectExtent l="0" t="0" r="635" b="1905"/>
                        <wp:docPr id="6" name="Рисунок 6" descr="http://www.b2b-mrsk.ru/images/center/sm_shadow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b2b-mrsk.ru/images/center/sm_shadow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3674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8577B" w:rsidRPr="0088577B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88577B" w:rsidRPr="0088577B" w:rsidRDefault="0088577B" w:rsidP="00885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57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88577B" w:rsidRPr="0088577B" w:rsidRDefault="0088577B" w:rsidP="008857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57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</w:p>
          <w:p w:rsidR="0088577B" w:rsidRPr="0088577B" w:rsidRDefault="0088577B" w:rsidP="0088577B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88577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88577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88577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88577B" w:rsidRPr="0088577B" w:rsidRDefault="0088577B" w:rsidP="0088577B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7B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88577B" w:rsidRPr="0088577B" w:rsidRDefault="0088577B" w:rsidP="0088577B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88577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88577B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048C60CB" wp14:editId="66532693">
                  <wp:extent cx="1431925" cy="155575"/>
                  <wp:effectExtent l="0" t="0" r="0" b="0"/>
                  <wp:docPr id="7" name="Рисунок 7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88577B" w:rsidRPr="0088577B" w:rsidRDefault="0088577B" w:rsidP="0088577B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88577B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Запрос предложений (объявление о покупке) № 515255. Открытый запрос предложений на право заключения договора на...</w:t>
            </w:r>
          </w:p>
          <w:p w:rsidR="0088577B" w:rsidRPr="0088577B" w:rsidRDefault="0088577B" w:rsidP="0088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Объявление успешно размещено.</w:t>
            </w:r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hyperlink r:id="rId7" w:history="1">
              <w:r w:rsidRPr="0088577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По вашей тематике найдено 2037 инноваций</w:t>
              </w:r>
            </w:hyperlink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pict/>
            </w:r>
          </w:p>
          <w:p w:rsidR="0088577B" w:rsidRPr="0088577B" w:rsidRDefault="0088577B" w:rsidP="0088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88577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Перейти в раздел Мои запросы цен/предложений (объявления о покупке</w:t>
              </w:r>
              <w:proofErr w:type="gramStart"/>
              <w:r w:rsidRPr="0088577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) &gt;</w:t>
              </w:r>
              <w:proofErr w:type="gramEnd"/>
              <w:r w:rsidRPr="0088577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&gt;</w:t>
              </w:r>
            </w:hyperlink>
          </w:p>
          <w:p w:rsidR="0088577B" w:rsidRPr="0088577B" w:rsidRDefault="0088577B" w:rsidP="0088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57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09.06.2015 в 07:00 по московскому </w:t>
            </w:r>
            <w:proofErr w:type="gramStart"/>
            <w:r w:rsidRPr="008857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времени</w:t>
            </w:r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 (</w:t>
            </w:r>
            <w:proofErr w:type="gramEnd"/>
            <w:r w:rsidRPr="0088577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через 18 суток, 2 минуты и 14 секунд) </w:t>
            </w:r>
            <w:r w:rsidRPr="0088577B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 xml:space="preserve">(завершён) </w:t>
            </w:r>
            <w:r w:rsidRPr="0088577B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88577B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88577B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857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88577B" w:rsidRPr="0088577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77B" w:rsidRPr="0088577B" w:rsidRDefault="0088577B" w:rsidP="00885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57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88577B" w:rsidRPr="0088577B" w:rsidRDefault="0088577B" w:rsidP="0088577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88577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разъяснений</w:t>
                    </w:r>
                    <w:r w:rsidRPr="0088577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88577B" w:rsidRPr="0088577B" w:rsidRDefault="0088577B" w:rsidP="0088577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8577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88577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88577B" w:rsidRPr="0088577B" w:rsidRDefault="0088577B" w:rsidP="0088577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88577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</w:t>
                    </w:r>
                    <w:r w:rsidRPr="0088577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88577B" w:rsidRPr="0088577B" w:rsidRDefault="0088577B" w:rsidP="0088577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8577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  <w:r w:rsidRPr="0088577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</w:tc>
            </w:tr>
          </w:tbl>
          <w:p w:rsidR="0088577B" w:rsidRPr="0088577B" w:rsidRDefault="0088577B" w:rsidP="008857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88577B" w:rsidRPr="0088577B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88577B" w:rsidRPr="0088577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8577B" w:rsidRPr="0088577B" w:rsidRDefault="0088577B" w:rsidP="0088577B">
                        <w:pPr>
                          <w:shd w:val="clear" w:color="auto" w:fill="C2C9CD"/>
                          <w:spacing w:after="0" w:line="288" w:lineRule="auto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8577B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Открытый запрос предложений на право заключения договора на поставку вагон-домов для филиала ОАО "Тюменьэнерго" Урайские ЭС.</w:t>
                        </w:r>
                        <w:r w:rsidRPr="0088577B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br/>
                          <w:t>Поставка вагон-домов для филиала ОАО "Тюменьэнерго" Урайские ЭС. (Поставка)</w:t>
                        </w:r>
                      </w:p>
                    </w:tc>
                  </w:tr>
                  <w:tr w:rsidR="0088577B" w:rsidRPr="0088577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3"/>
                          <w:gridCol w:w="5149"/>
                        </w:tblGrid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Категории классификатора: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3420171 </w:t>
                              </w:r>
                              <w:hyperlink r:id="rId13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Вагоны-дома передвижные общежития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ОКДП: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3420170 </w:t>
                              </w:r>
                              <w:hyperlink r:id="rId14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Вагоны-дома передвижные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ОКВЭД: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17.65pt;height:17.65pt" o:ole="">
                                    <v:imagedata r:id="rId15" o:title=""/>
                                  </v:shape>
                                  <w:control r:id="rId16" w:name="Объект 12" w:shapeid="_x0000_i1036"/>
                                </w:objec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Производство автомобильных кузовов; производство прицепов, полуприцепов и контейнеров, предназначенных для перевозки одним или несколькими видами транспорта; 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 шт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1 289 138,20 руб. (цена с НДС)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2 578 276,40 руб. (цена с НДС)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с НДС (</w:t>
                              </w:r>
                              <w:hyperlink r:id="rId17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показывать обе цены</w:t>
                                </w:r>
                              </w:hyperlink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22.05.2015 06:54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09.06.2015 07:00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22.05.2015 06:54, </w:t>
                              </w:r>
                              <w:hyperlink r:id="rId18" w:tgtFrame="_blank" w:tooltip="Отправить личное сообщение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Окунцев Евгений Сергеевич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9" w:tgtFrame="_blank" w:tooltip="Отправить личное сообщение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Окунцев Евгений Сергеевич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0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Филиал ОАО "Тюменьэнерго" Урайские ЭС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628285, Ханты-Мансийский Автономный округ - Югра, г. Урай, мкр. Электросети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628285, Ханты-Мансийский Автономный округ - Югра, г. Урай, мкр. Электросети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Контактный адрес e-mail: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1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OkuntsevES@yec.te.ru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+7 (34676) 5-32-60</w:t>
                              </w:r>
                            </w:p>
                          </w:tc>
                        </w:tr>
                      </w:tbl>
                      <w:p w:rsidR="0088577B" w:rsidRPr="0088577B" w:rsidRDefault="0088577B" w:rsidP="00885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8577B" w:rsidRPr="0088577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8577B" w:rsidRPr="0088577B" w:rsidRDefault="0088577B" w:rsidP="0088577B">
                        <w:pPr>
                          <w:spacing w:after="0" w:line="288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8577B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</w:tr>
                  <w:tr w:rsidR="0088577B" w:rsidRPr="0088577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3"/>
                          <w:gridCol w:w="5149"/>
                        </w:tblGrid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Двухэтапная процедура закупки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D919C2E" wp14:editId="17032925">
                                    <wp:extent cx="146685" cy="146685"/>
                                    <wp:effectExtent l="0" t="0" r="5715" b="5715"/>
                                    <wp:docPr id="8" name="Рисунок 8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6685" cy="146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Закрытая подача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Альтернативные предложения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76215561" wp14:editId="276D2CB6">
                                    <wp:extent cx="146685" cy="146685"/>
                                    <wp:effectExtent l="0" t="0" r="5715" b="5715"/>
                                    <wp:docPr id="9" name="Рисунок 9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6685" cy="146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Ограничивать предложения участников указанной в извещении стоимостью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77D5696D" wp14:editId="3287DE58">
                                    <wp:extent cx="146685" cy="146685"/>
                                    <wp:effectExtent l="0" t="0" r="5715" b="5715"/>
                                    <wp:docPr id="10" name="Рисунок 10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6685" cy="146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Цена предложенная участником не может превышать максимальную цену установленную организатором закупки.</w:t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Подгрузка документации к предложению обязательна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513A7481" wp14:editId="63D4D743">
                                    <wp:extent cx="146685" cy="146685"/>
                                    <wp:effectExtent l="0" t="0" r="5715" b="5715"/>
                                    <wp:docPr id="11" name="Рисунок 11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6685" cy="146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Организатор не будет рассматривать предложения, которые не были подкреплены документацией.</w:t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Поставщик не должен находиться в реестре недобросовестных поставщиков: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Закупочная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3" w:tgtFrame="_blank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88577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04 ЗД Поставка вагон-домов.7z</w:t>
                                </w:r>
                              </w:hyperlink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(2.2 МБ)</w:t>
                              </w:r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history="1">
                                <w:r w:rsidRPr="0088577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 закупочную документацию</w:t>
                                </w:r>
                              </w:hyperlink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tgtFrame="signature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6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проектом договора (Приложение № 2 к ЗД)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техническим заданием (Приложение № 1 к ЗД)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628285, Россия, Тюменская область, ХМАО, г. Урай, мкр. Электросети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29.06.2015 15:00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08.07.2015 15:00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628285, Ханты-Мансийский Автономный округ - Югра, г. Урай, мкр. Электросети</w:t>
                                </w:r>
                              </w:hyperlink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8857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Комментарии: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Настоящее</w:t>
                              </w:r>
                              <w:proofErr w:type="gramEnd"/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      </w:r>
                              <w:proofErr w:type="gramStart"/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».</w:t>
                              </w: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</w:t>
                              </w:r>
                              <w:proofErr w:type="gramEnd"/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проведения процедуры: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      </w:r>
                            </w:p>
                          </w:tc>
                        </w:tr>
                        <w:tr w:rsidR="0088577B" w:rsidRPr="0088577B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857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88577B" w:rsidRPr="0088577B" w:rsidRDefault="0088577B" w:rsidP="008857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tgtFrame="signature" w:history="1">
                                <w:r w:rsidRPr="008857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</w:tbl>
                      <w:p w:rsidR="0088577B" w:rsidRPr="0088577B" w:rsidRDefault="0088577B" w:rsidP="00885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577B" w:rsidRPr="0088577B" w:rsidRDefault="0088577B" w:rsidP="00885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577B" w:rsidRPr="0088577B" w:rsidRDefault="0088577B" w:rsidP="008857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58D4" w:rsidRDefault="007F58D4">
      <w:bookmarkStart w:id="0" w:name="_GoBack"/>
      <w:bookmarkEnd w:id="0"/>
    </w:p>
    <w:sectPr w:rsidR="007F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92"/>
    <w:rsid w:val="007F58D4"/>
    <w:rsid w:val="0088577B"/>
    <w:rsid w:val="00E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1443-04F9-40A8-86EC-3B93F84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2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6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175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8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ersonal/my_market.html?type=4&amp;status=0" TargetMode="External"/><Relationship Id="rId13" Type="http://schemas.openxmlformats.org/officeDocument/2006/relationships/hyperlink" Target="http://www.b2b-mrsk.ru/market/list.html?bookmarks=0&amp;all=0&amp;type=4&amp;cat_id=43420171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untsevES%40yec.te.ru" TargetMode="External"/><Relationship Id="rId7" Type="http://schemas.openxmlformats.org/officeDocument/2006/relationships/hyperlink" Target="http://www.b2b-mrsk.ru/innovations/index.html" TargetMode="External"/><Relationship Id="rId12" Type="http://schemas.openxmlformats.org/officeDocument/2006/relationships/hyperlink" Target="http://www.b2b-mrsk.ru/market/view.html?id=515255&amp;action=statistics" TargetMode="External"/><Relationship Id="rId17" Type="http://schemas.openxmlformats.org/officeDocument/2006/relationships/hyperlink" Target="http://www.b2b-mrsk.ru/market/view.html?id=515255&amp;switch_price_both_view=1" TargetMode="External"/><Relationship Id="rId25" Type="http://schemas.openxmlformats.org/officeDocument/2006/relationships/hyperlink" Target="http://www.b2b-mrsk.ru/market/view.html?id=515255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7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b2b-mrsk.ru/market/view.html?id=515255&amp;action=bet_fields" TargetMode="External"/><Relationship Id="rId24" Type="http://schemas.openxmlformats.org/officeDocument/2006/relationships/hyperlink" Target="http://www.b2b-mrsk.ru/market/edit.html?id=515255&amp;action=docs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wmf"/><Relationship Id="rId23" Type="http://schemas.openxmlformats.org/officeDocument/2006/relationships/hyperlink" Target="http://www.b2b-mrsk.ru/download.html?file=file%2F17148444.7z&amp;title=04+%D0%97%D0%94+%D0%9F%D0%BE%D1%81%D1%82%D0%B0%D0%B2%D0%BA%D0%B0+%D0%B2%D0%B0%D0%B3%D0%BE%D0%BD-%D0%B4%D0%BE%D0%BC%D0%BE%D0%B2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515255&amp;action=invitations" TargetMode="External"/><Relationship Id="rId19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b2b-mrsk.ru/market/view.html?id=515255&amp;action=explanation" TargetMode="External"/><Relationship Id="rId14" Type="http://schemas.openxmlformats.org/officeDocument/2006/relationships/hyperlink" Target="http://www.b2b-mrsk.ru/market/list.html?bookmarks=0&amp;all=0&amp;type=4&amp;cat_id=43420170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www.b2b-mrsk.ru/market/view.html?id=515255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5558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2015-05-22T03:55:00Z</dcterms:created>
  <dcterms:modified xsi:type="dcterms:W3CDTF">2015-05-22T03:57:00Z</dcterms:modified>
</cp:coreProperties>
</file>