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A2B" w:rsidRPr="009C5A2B" w:rsidRDefault="009C5A2B" w:rsidP="009C5A2B">
      <w:pPr>
        <w:spacing w:after="100" w:afterAutospacing="1" w:line="288" w:lineRule="auto"/>
        <w:jc w:val="center"/>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Извещение</w:t>
      </w:r>
    </w:p>
    <w:tbl>
      <w:tblPr>
        <w:tblW w:w="5000" w:type="pct"/>
        <w:tblCellSpacing w:w="7" w:type="dxa"/>
        <w:tblCellMar>
          <w:left w:w="0" w:type="dxa"/>
          <w:right w:w="0" w:type="dxa"/>
        </w:tblCellMar>
        <w:tblLook w:val="04A0" w:firstRow="1" w:lastRow="0" w:firstColumn="1" w:lastColumn="0" w:noHBand="0" w:noVBand="1"/>
      </w:tblPr>
      <w:tblGrid>
        <w:gridCol w:w="9532"/>
      </w:tblGrid>
      <w:tr w:rsidR="009C5A2B" w:rsidRPr="009C5A2B">
        <w:trPr>
          <w:tblCellSpacing w:w="7" w:type="dxa"/>
        </w:trPr>
        <w:tc>
          <w:tcPr>
            <w:tcW w:w="0" w:type="auto"/>
            <w:shd w:val="clear" w:color="auto" w:fill="C2C9CD"/>
            <w:tcMar>
              <w:top w:w="75" w:type="dxa"/>
              <w:left w:w="75" w:type="dxa"/>
              <w:bottom w:w="75" w:type="dxa"/>
              <w:right w:w="75" w:type="dxa"/>
            </w:tcMar>
            <w:hideMark/>
          </w:tcPr>
          <w:p w:rsidR="009C5A2B" w:rsidRPr="009C5A2B" w:rsidRDefault="009C5A2B" w:rsidP="009C5A2B">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5" w:history="1">
              <w:r w:rsidRPr="009C5A2B">
                <w:rPr>
                  <w:rFonts w:ascii="Times New Roman" w:eastAsia="Times New Roman" w:hAnsi="Times New Roman" w:cs="Times New Roman"/>
                  <w:b/>
                  <w:bCs/>
                  <w:color w:val="1C50A4"/>
                  <w:sz w:val="24"/>
                  <w:szCs w:val="24"/>
                  <w:lang w:eastAsia="ru-RU"/>
                </w:rPr>
                <w:t xml:space="preserve">Открытое акционерное общество энергетики и </w:t>
              </w:r>
              <w:proofErr w:type="spellStart"/>
              <w:r w:rsidRPr="009C5A2B">
                <w:rPr>
                  <w:rFonts w:ascii="Times New Roman" w:eastAsia="Times New Roman" w:hAnsi="Times New Roman" w:cs="Times New Roman"/>
                  <w:b/>
                  <w:bCs/>
                  <w:color w:val="1C50A4"/>
                  <w:sz w:val="24"/>
                  <w:szCs w:val="24"/>
                  <w:lang w:eastAsia="ru-RU"/>
                </w:rPr>
                <w:t>электрофикации</w:t>
              </w:r>
              <w:proofErr w:type="spellEnd"/>
              <w:r w:rsidRPr="009C5A2B">
                <w:rPr>
                  <w:rFonts w:ascii="Times New Roman" w:eastAsia="Times New Roman" w:hAnsi="Times New Roman" w:cs="Times New Roman"/>
                  <w:b/>
                  <w:bCs/>
                  <w:color w:val="1C50A4"/>
                  <w:sz w:val="24"/>
                  <w:szCs w:val="24"/>
                  <w:lang w:eastAsia="ru-RU"/>
                </w:rPr>
                <w:t xml:space="preserve"> "Тюменьэнерго" филиал Нефтеюганские электрические сети</w:t>
              </w:r>
            </w:hyperlink>
            <w:r w:rsidRPr="009C5A2B">
              <w:rPr>
                <w:rFonts w:ascii="Times New Roman" w:eastAsia="Times New Roman" w:hAnsi="Times New Roman" w:cs="Times New Roman"/>
                <w:color w:val="333333"/>
                <w:sz w:val="24"/>
                <w:szCs w:val="24"/>
                <w:lang w:eastAsia="ru-RU"/>
              </w:rPr>
              <w:t xml:space="preserve">, 628303, Ханты-Мансийский Автономный округ - Югра, Тюменская обл., г. Нефтеюганск, ул. Мира, д. 15, </w:t>
            </w:r>
            <w:r w:rsidRPr="009C5A2B">
              <w:rPr>
                <w:rFonts w:ascii="Times New Roman" w:eastAsia="Times New Roman" w:hAnsi="Times New Roman" w:cs="Times New Roman"/>
                <w:b/>
                <w:bCs/>
                <w:color w:val="333333"/>
                <w:sz w:val="24"/>
                <w:szCs w:val="24"/>
                <w:lang w:eastAsia="ru-RU"/>
              </w:rPr>
              <w:t>приглашает принять участие в процедуре (тендере)</w:t>
            </w:r>
            <w:r w:rsidRPr="009C5A2B">
              <w:rPr>
                <w:rFonts w:ascii="Times New Roman" w:eastAsia="Times New Roman" w:hAnsi="Times New Roman" w:cs="Times New Roman"/>
                <w:color w:val="333333"/>
                <w:sz w:val="24"/>
                <w:szCs w:val="24"/>
                <w:lang w:eastAsia="ru-RU"/>
              </w:rPr>
              <w:t>.</w:t>
            </w:r>
          </w:p>
        </w:tc>
      </w:tr>
      <w:tr w:rsidR="009C5A2B" w:rsidRPr="009C5A2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83"/>
              <w:gridCol w:w="6821"/>
            </w:tblGrid>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«ПС-110 </w:t>
                  </w:r>
                  <w:proofErr w:type="spellStart"/>
                  <w:r w:rsidRPr="009C5A2B">
                    <w:rPr>
                      <w:rFonts w:ascii="Times New Roman" w:eastAsia="Times New Roman" w:hAnsi="Times New Roman" w:cs="Times New Roman"/>
                      <w:sz w:val="24"/>
                      <w:szCs w:val="24"/>
                      <w:lang w:eastAsia="ru-RU"/>
                    </w:rPr>
                    <w:t>кВ</w:t>
                  </w:r>
                  <w:proofErr w:type="spellEnd"/>
                  <w:r w:rsidRPr="009C5A2B">
                    <w:rPr>
                      <w:rFonts w:ascii="Times New Roman" w:eastAsia="Times New Roman" w:hAnsi="Times New Roman" w:cs="Times New Roman"/>
                      <w:sz w:val="24"/>
                      <w:szCs w:val="24"/>
                      <w:lang w:eastAsia="ru-RU"/>
                    </w:rPr>
                    <w:t xml:space="preserve"> Чупальская с ВЛ-110 </w:t>
                  </w:r>
                  <w:proofErr w:type="spellStart"/>
                  <w:r w:rsidRPr="009C5A2B">
                    <w:rPr>
                      <w:rFonts w:ascii="Times New Roman" w:eastAsia="Times New Roman" w:hAnsi="Times New Roman" w:cs="Times New Roman"/>
                      <w:sz w:val="24"/>
                      <w:szCs w:val="24"/>
                      <w:lang w:eastAsia="ru-RU"/>
                    </w:rPr>
                    <w:t>кВ</w:t>
                  </w:r>
                  <w:proofErr w:type="spellEnd"/>
                  <w:r w:rsidRPr="009C5A2B">
                    <w:rPr>
                      <w:rFonts w:ascii="Times New Roman" w:eastAsia="Times New Roman" w:hAnsi="Times New Roman" w:cs="Times New Roman"/>
                      <w:sz w:val="24"/>
                      <w:szCs w:val="24"/>
                      <w:lang w:eastAsia="ru-RU"/>
                    </w:rPr>
                    <w:t xml:space="preserve"> Святогор - Чупальская 1,2 цепи» для филиала ОАО «Тюменьэнерго» Нефтеюганские электрические сети</w:t>
                  </w:r>
                  <w:r w:rsidRPr="009C5A2B">
                    <w:rPr>
                      <w:rFonts w:ascii="Times New Roman" w:eastAsia="Times New Roman" w:hAnsi="Times New Roman" w:cs="Times New Roman"/>
                      <w:sz w:val="24"/>
                      <w:szCs w:val="24"/>
                      <w:lang w:eastAsia="ru-RU"/>
                    </w:rPr>
                    <w:br/>
                  </w:r>
                  <w:r w:rsidRPr="009C5A2B">
                    <w:rPr>
                      <w:rFonts w:ascii="Times New Roman" w:eastAsia="Times New Roman" w:hAnsi="Times New Roman" w:cs="Times New Roman"/>
                      <w:b/>
                      <w:bCs/>
                      <w:sz w:val="24"/>
                      <w:szCs w:val="24"/>
                      <w:lang w:eastAsia="ru-RU"/>
                    </w:rPr>
                    <w:t>Лот № 1.</w:t>
                  </w:r>
                  <w:r w:rsidRPr="009C5A2B">
                    <w:rPr>
                      <w:rFonts w:ascii="Times New Roman" w:eastAsia="Times New Roman" w:hAnsi="Times New Roman" w:cs="Times New Roman"/>
                      <w:sz w:val="24"/>
                      <w:szCs w:val="24"/>
                      <w:lang w:eastAsia="ru-RU"/>
                    </w:rPr>
                    <w:t xml:space="preserve"> Выполнение проектных и изыскательских работ по строительству объекта «ПС-110 </w:t>
                  </w:r>
                  <w:proofErr w:type="spellStart"/>
                  <w:r w:rsidRPr="009C5A2B">
                    <w:rPr>
                      <w:rFonts w:ascii="Times New Roman" w:eastAsia="Times New Roman" w:hAnsi="Times New Roman" w:cs="Times New Roman"/>
                      <w:sz w:val="24"/>
                      <w:szCs w:val="24"/>
                      <w:lang w:eastAsia="ru-RU"/>
                    </w:rPr>
                    <w:t>кВ</w:t>
                  </w:r>
                  <w:proofErr w:type="spellEnd"/>
                  <w:r w:rsidRPr="009C5A2B">
                    <w:rPr>
                      <w:rFonts w:ascii="Times New Roman" w:eastAsia="Times New Roman" w:hAnsi="Times New Roman" w:cs="Times New Roman"/>
                      <w:sz w:val="24"/>
                      <w:szCs w:val="24"/>
                      <w:lang w:eastAsia="ru-RU"/>
                    </w:rPr>
                    <w:t xml:space="preserve"> Чупальская с ВЛ-110 </w:t>
                  </w:r>
                  <w:proofErr w:type="spellStart"/>
                  <w:r w:rsidRPr="009C5A2B">
                    <w:rPr>
                      <w:rFonts w:ascii="Times New Roman" w:eastAsia="Times New Roman" w:hAnsi="Times New Roman" w:cs="Times New Roman"/>
                      <w:sz w:val="24"/>
                      <w:szCs w:val="24"/>
                      <w:lang w:eastAsia="ru-RU"/>
                    </w:rPr>
                    <w:t>кВ</w:t>
                  </w:r>
                  <w:proofErr w:type="spellEnd"/>
                  <w:r w:rsidRPr="009C5A2B">
                    <w:rPr>
                      <w:rFonts w:ascii="Times New Roman" w:eastAsia="Times New Roman" w:hAnsi="Times New Roman" w:cs="Times New Roman"/>
                      <w:sz w:val="24"/>
                      <w:szCs w:val="24"/>
                      <w:lang w:eastAsia="ru-RU"/>
                    </w:rPr>
                    <w:t xml:space="preserve"> Святогор - Чупальская 1,2 цепи» для филиала ОАО «Тюменьэнерго» Нефтеюганские электрические (628303, г. Нефтеюганск Тюменская обл., ХМАО-Югра, ул. Мира, 15)</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Категории ОКДП:</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4521123 </w:t>
                  </w:r>
                  <w:hyperlink r:id="rId6" w:history="1">
                    <w:r w:rsidRPr="009C5A2B">
                      <w:rPr>
                        <w:rFonts w:ascii="Times New Roman" w:eastAsia="Times New Roman" w:hAnsi="Times New Roman" w:cs="Times New Roman"/>
                        <w:color w:val="1C50A4"/>
                        <w:sz w:val="24"/>
                        <w:szCs w:val="24"/>
                        <w:lang w:eastAsia="ru-RU"/>
                      </w:rPr>
                      <w:t>Подстанция электрическая</w:t>
                    </w:r>
                  </w:hyperlink>
                  <w:r w:rsidRPr="009C5A2B">
                    <w:rPr>
                      <w:rFonts w:ascii="Times New Roman" w:eastAsia="Times New Roman" w:hAnsi="Times New Roman" w:cs="Times New Roman"/>
                      <w:sz w:val="24"/>
                      <w:szCs w:val="24"/>
                      <w:lang w:eastAsia="ru-RU"/>
                    </w:rPr>
                    <w:br/>
                    <w:t>4560531 </w:t>
                  </w:r>
                  <w:hyperlink r:id="rId7" w:history="1">
                    <w:r w:rsidRPr="009C5A2B">
                      <w:rPr>
                        <w:rFonts w:ascii="Times New Roman" w:eastAsia="Times New Roman" w:hAnsi="Times New Roman" w:cs="Times New Roman"/>
                        <w:color w:val="1C50A4"/>
                        <w:sz w:val="24"/>
                        <w:szCs w:val="24"/>
                        <w:lang w:eastAsia="ru-RU"/>
                      </w:rPr>
                      <w:t>Проектно-изыскательские работы (в том числе для строительства будущих лет)</w:t>
                    </w:r>
                  </w:hyperlink>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Конкурс (тендер) объявлен:</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12.07.2013 11:05</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Сроки поставки:</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b/>
                      <w:bCs/>
                      <w:sz w:val="24"/>
                      <w:szCs w:val="24"/>
                      <w:lang w:eastAsia="ru-RU"/>
                    </w:rPr>
                    <w:t>15.09.2013 - 15.09.2014</w:t>
                  </w:r>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628303, Ханты-Мансийский Автономный округ - Югра, Тюменская обл., г. Нефтеюганск, ул. Мира, д. 15</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Местонахождение заказчика:</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628303, Ханты-Мансийский Автономный округ - Югра, Тюменская обл., г. Нефтеюганск, ул. Мира, д. 15</w:t>
                  </w:r>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Контактное лицо:</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hyperlink r:id="rId8" w:tgtFrame="_blank" w:tooltip="Отправить личное сообщение" w:history="1">
                    <w:r w:rsidRPr="009C5A2B">
                      <w:rPr>
                        <w:rFonts w:ascii="Times New Roman" w:eastAsia="Times New Roman" w:hAnsi="Times New Roman" w:cs="Times New Roman"/>
                        <w:color w:val="1C50A4"/>
                        <w:sz w:val="24"/>
                        <w:szCs w:val="24"/>
                        <w:lang w:eastAsia="ru-RU"/>
                      </w:rPr>
                      <w:t>Яковленко Яна Валерьевна</w:t>
                    </w:r>
                  </w:hyperlink>
                  <w:r w:rsidRPr="009C5A2B">
                    <w:rPr>
                      <w:rFonts w:ascii="Times New Roman" w:eastAsia="Times New Roman" w:hAnsi="Times New Roman" w:cs="Times New Roman"/>
                      <w:sz w:val="24"/>
                      <w:szCs w:val="24"/>
                      <w:lang w:eastAsia="ru-RU"/>
                    </w:rPr>
                    <w:t xml:space="preserve">, тел.+7 (3463) 25-33-10, </w:t>
                  </w:r>
                  <w:hyperlink r:id="rId9" w:history="1">
                    <w:r w:rsidRPr="009C5A2B">
                      <w:rPr>
                        <w:rFonts w:ascii="Times New Roman" w:eastAsia="Times New Roman" w:hAnsi="Times New Roman" w:cs="Times New Roman"/>
                        <w:color w:val="1C50A4"/>
                        <w:sz w:val="24"/>
                        <w:szCs w:val="24"/>
                        <w:lang w:eastAsia="ru-RU"/>
                      </w:rPr>
                      <w:t>YakovlenkoYV@nues.te.ru</w:t>
                    </w:r>
                  </w:hyperlink>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Конкурсная комиссия:</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proofErr w:type="gramStart"/>
                  <w:r w:rsidRPr="009C5A2B">
                    <w:rPr>
                      <w:rFonts w:ascii="Times New Roman" w:eastAsia="Times New Roman" w:hAnsi="Times New Roman" w:cs="Times New Roman"/>
                      <w:sz w:val="24"/>
                      <w:szCs w:val="24"/>
                      <w:lang w:eastAsia="ru-RU"/>
                    </w:rPr>
                    <w:t>Назначена</w:t>
                  </w:r>
                  <w:proofErr w:type="gramEnd"/>
                  <w:r w:rsidRPr="009C5A2B">
                    <w:rPr>
                      <w:rFonts w:ascii="Times New Roman" w:eastAsia="Times New Roman" w:hAnsi="Times New Roman" w:cs="Times New Roman"/>
                      <w:sz w:val="24"/>
                      <w:szCs w:val="24"/>
                      <w:lang w:eastAsia="ru-RU"/>
                    </w:rPr>
                    <w:t xml:space="preserve"> приказом ОАО "Тюменьэнерго" от 07.05.2013г. № 194</w:t>
                  </w:r>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Требования к участникам:</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proofErr w:type="gramStart"/>
                  <w:r w:rsidRPr="009C5A2B">
                    <w:rPr>
                      <w:rFonts w:ascii="Times New Roman" w:eastAsia="Times New Roman" w:hAnsi="Times New Roman" w:cs="Times New Roman"/>
                      <w:sz w:val="24"/>
                      <w:szCs w:val="24"/>
                      <w:lang w:eastAsia="ru-RU"/>
                    </w:rPr>
                    <w:t>Участник должен обладать гражданской правоспособностью в полном объеме для заключения и исполнения Договора</w:t>
                  </w:r>
                  <w:r w:rsidRPr="009C5A2B">
                    <w:rPr>
                      <w:rFonts w:ascii="Times New Roman" w:eastAsia="Times New Roman" w:hAnsi="Times New Roman" w:cs="Times New Roman"/>
                      <w:sz w:val="24"/>
                      <w:szCs w:val="24"/>
                      <w:lang w:eastAsia="ru-RU"/>
                    </w:rPr>
                    <w:br/>
                    <w:t xml:space="preserve">Участник должен обладать необходимыми свободными (не задействованными на других проектах) кадровыми ресурсами: </w:t>
                  </w:r>
                  <w:r w:rsidRPr="009C5A2B">
                    <w:rPr>
                      <w:rFonts w:ascii="Times New Roman" w:eastAsia="Times New Roman" w:hAnsi="Times New Roman" w:cs="Times New Roman"/>
                      <w:sz w:val="24"/>
                      <w:szCs w:val="24"/>
                      <w:lang w:eastAsia="ru-RU"/>
                    </w:rPr>
                    <w:br/>
                    <w:t xml:space="preserve">общая численность не менее 21 чел., в том числе </w:t>
                  </w:r>
                  <w:r w:rsidRPr="009C5A2B">
                    <w:rPr>
                      <w:rFonts w:ascii="Times New Roman" w:eastAsia="Times New Roman" w:hAnsi="Times New Roman" w:cs="Times New Roman"/>
                      <w:sz w:val="24"/>
                      <w:szCs w:val="24"/>
                      <w:lang w:eastAsia="ru-RU"/>
                    </w:rPr>
                    <w:br/>
                    <w:t>- технические руководители и ГИП - не менее 2 чел. со стажем работы не менее 5 лет,</w:t>
                  </w:r>
                  <w:r w:rsidRPr="009C5A2B">
                    <w:rPr>
                      <w:rFonts w:ascii="Times New Roman" w:eastAsia="Times New Roman" w:hAnsi="Times New Roman" w:cs="Times New Roman"/>
                      <w:sz w:val="24"/>
                      <w:szCs w:val="24"/>
                      <w:lang w:eastAsia="ru-RU"/>
                    </w:rPr>
                    <w:br/>
                    <w:t>- ведущие инженеры, инженеры по категориям и сметчиков - не менее 10 чел</w:t>
                  </w:r>
                  <w:proofErr w:type="gramEnd"/>
                  <w:r w:rsidRPr="009C5A2B">
                    <w:rPr>
                      <w:rFonts w:ascii="Times New Roman" w:eastAsia="Times New Roman" w:hAnsi="Times New Roman" w:cs="Times New Roman"/>
                      <w:sz w:val="24"/>
                      <w:szCs w:val="24"/>
                      <w:lang w:eastAsia="ru-RU"/>
                    </w:rPr>
                    <w:t>. со стажем работы не менее 3 лет,</w:t>
                  </w:r>
                  <w:r w:rsidRPr="009C5A2B">
                    <w:rPr>
                      <w:rFonts w:ascii="Times New Roman" w:eastAsia="Times New Roman" w:hAnsi="Times New Roman" w:cs="Times New Roman"/>
                      <w:sz w:val="24"/>
                      <w:szCs w:val="24"/>
                      <w:lang w:eastAsia="ru-RU"/>
                    </w:rPr>
                    <w:br/>
                    <w:t>- специалисты по инженерным изысканиям - не менее 5 человек со стажем работы не менее 3 лет,</w:t>
                  </w:r>
                  <w:r w:rsidRPr="009C5A2B">
                    <w:rPr>
                      <w:rFonts w:ascii="Times New Roman" w:eastAsia="Times New Roman" w:hAnsi="Times New Roman" w:cs="Times New Roman"/>
                      <w:sz w:val="24"/>
                      <w:szCs w:val="24"/>
                      <w:lang w:eastAsia="ru-RU"/>
                    </w:rPr>
                    <w:br/>
                    <w:t>- инженеры и техники - не менее 3 чел. со стажем работы не менее 2 лет,</w:t>
                  </w:r>
                  <w:r w:rsidRPr="009C5A2B">
                    <w:rPr>
                      <w:rFonts w:ascii="Times New Roman" w:eastAsia="Times New Roman" w:hAnsi="Times New Roman" w:cs="Times New Roman"/>
                      <w:sz w:val="24"/>
                      <w:szCs w:val="24"/>
                      <w:lang w:eastAsia="ru-RU"/>
                    </w:rPr>
                    <w:br/>
                    <w:t>- кадастровый инженер – не менее 1 чел. со стажем работы не менее 1 года;</w:t>
                  </w:r>
                  <w:r w:rsidRPr="009C5A2B">
                    <w:rPr>
                      <w:rFonts w:ascii="Times New Roman" w:eastAsia="Times New Roman" w:hAnsi="Times New Roman" w:cs="Times New Roman"/>
                      <w:sz w:val="24"/>
                      <w:szCs w:val="24"/>
                      <w:lang w:eastAsia="ru-RU"/>
                    </w:rPr>
                    <w:br/>
                    <w:t xml:space="preserve">специалисты аттестованные по работе с ПО </w:t>
                  </w:r>
                  <w:proofErr w:type="spellStart"/>
                  <w:r w:rsidRPr="009C5A2B">
                    <w:rPr>
                      <w:rFonts w:ascii="Times New Roman" w:eastAsia="Times New Roman" w:hAnsi="Times New Roman" w:cs="Times New Roman"/>
                      <w:sz w:val="24"/>
                      <w:szCs w:val="24"/>
                      <w:lang w:eastAsia="ru-RU"/>
                    </w:rPr>
                    <w:t>Primavera</w:t>
                  </w:r>
                  <w:proofErr w:type="spellEnd"/>
                  <w:r w:rsidRPr="009C5A2B">
                    <w:rPr>
                      <w:rFonts w:ascii="Times New Roman" w:eastAsia="Times New Roman" w:hAnsi="Times New Roman" w:cs="Times New Roman"/>
                      <w:sz w:val="24"/>
                      <w:szCs w:val="24"/>
                      <w:lang w:eastAsia="ru-RU"/>
                    </w:rPr>
                    <w:t xml:space="preserve"> не менее 2 чел.</w:t>
                  </w:r>
                  <w:r w:rsidRPr="009C5A2B">
                    <w:rPr>
                      <w:rFonts w:ascii="Times New Roman" w:eastAsia="Times New Roman" w:hAnsi="Times New Roman" w:cs="Times New Roman"/>
                      <w:sz w:val="24"/>
                      <w:szCs w:val="24"/>
                      <w:lang w:eastAsia="ru-RU"/>
                    </w:rPr>
                    <w:br/>
                    <w:t xml:space="preserve">Участник должен обладать необходимыми основными материально-техническими ресурсами: </w:t>
                  </w:r>
                  <w:r w:rsidRPr="009C5A2B">
                    <w:rPr>
                      <w:rFonts w:ascii="Times New Roman" w:eastAsia="Times New Roman" w:hAnsi="Times New Roman" w:cs="Times New Roman"/>
                      <w:sz w:val="24"/>
                      <w:szCs w:val="24"/>
                      <w:lang w:eastAsia="ru-RU"/>
                    </w:rPr>
                    <w:br/>
                    <w:t>- автотранспорт для перевозки персонала - не менее 3 ед.,</w:t>
                  </w:r>
                  <w:r w:rsidRPr="009C5A2B">
                    <w:rPr>
                      <w:rFonts w:ascii="Times New Roman" w:eastAsia="Times New Roman" w:hAnsi="Times New Roman" w:cs="Times New Roman"/>
                      <w:sz w:val="24"/>
                      <w:szCs w:val="24"/>
                      <w:lang w:eastAsia="ru-RU"/>
                    </w:rPr>
                    <w:br/>
                    <w:t xml:space="preserve">- снегоход </w:t>
                  </w:r>
                  <w:proofErr w:type="gramStart"/>
                  <w:r w:rsidRPr="009C5A2B">
                    <w:rPr>
                      <w:rFonts w:ascii="Times New Roman" w:eastAsia="Times New Roman" w:hAnsi="Times New Roman" w:cs="Times New Roman"/>
                      <w:sz w:val="24"/>
                      <w:szCs w:val="24"/>
                      <w:lang w:eastAsia="ru-RU"/>
                    </w:rPr>
                    <w:t>–н</w:t>
                  </w:r>
                  <w:proofErr w:type="gramEnd"/>
                  <w:r w:rsidRPr="009C5A2B">
                    <w:rPr>
                      <w:rFonts w:ascii="Times New Roman" w:eastAsia="Times New Roman" w:hAnsi="Times New Roman" w:cs="Times New Roman"/>
                      <w:sz w:val="24"/>
                      <w:szCs w:val="24"/>
                      <w:lang w:eastAsia="ru-RU"/>
                    </w:rPr>
                    <w:t>е менее 1 ед.,</w:t>
                  </w:r>
                  <w:r w:rsidRPr="009C5A2B">
                    <w:rPr>
                      <w:rFonts w:ascii="Times New Roman" w:eastAsia="Times New Roman" w:hAnsi="Times New Roman" w:cs="Times New Roman"/>
                      <w:sz w:val="24"/>
                      <w:szCs w:val="24"/>
                      <w:lang w:eastAsia="ru-RU"/>
                    </w:rPr>
                    <w:br/>
                    <w:t>- мобильное здание – не менее 1 ед.,</w:t>
                  </w:r>
                  <w:r w:rsidRPr="009C5A2B">
                    <w:rPr>
                      <w:rFonts w:ascii="Times New Roman" w:eastAsia="Times New Roman" w:hAnsi="Times New Roman" w:cs="Times New Roman"/>
                      <w:sz w:val="24"/>
                      <w:szCs w:val="24"/>
                      <w:lang w:eastAsia="ru-RU"/>
                    </w:rPr>
                    <w:br/>
                    <w:t>- тахеометр – не менее 1 ед.,</w:t>
                  </w:r>
                  <w:r w:rsidRPr="009C5A2B">
                    <w:rPr>
                      <w:rFonts w:ascii="Times New Roman" w:eastAsia="Times New Roman" w:hAnsi="Times New Roman" w:cs="Times New Roman"/>
                      <w:sz w:val="24"/>
                      <w:szCs w:val="24"/>
                      <w:lang w:eastAsia="ru-RU"/>
                    </w:rPr>
                    <w:br/>
                    <w:t>- нивелиры – не менее 2 ед.,</w:t>
                  </w:r>
                  <w:r w:rsidRPr="009C5A2B">
                    <w:rPr>
                      <w:rFonts w:ascii="Times New Roman" w:eastAsia="Times New Roman" w:hAnsi="Times New Roman" w:cs="Times New Roman"/>
                      <w:sz w:val="24"/>
                      <w:szCs w:val="24"/>
                      <w:lang w:eastAsia="ru-RU"/>
                    </w:rPr>
                    <w:br/>
                    <w:t>- GPS приемники – не менее 2 ед.,</w:t>
                  </w:r>
                  <w:r w:rsidRPr="009C5A2B">
                    <w:rPr>
                      <w:rFonts w:ascii="Times New Roman" w:eastAsia="Times New Roman" w:hAnsi="Times New Roman" w:cs="Times New Roman"/>
                      <w:sz w:val="24"/>
                      <w:szCs w:val="24"/>
                      <w:lang w:eastAsia="ru-RU"/>
                    </w:rPr>
                    <w:br/>
                    <w:t>- буровое оборудование , обеспечивающее отбор керна диаметром более 80 мм с глубины, на базе ЗИЛ131(либо аналог) – не менее 1 ед.,</w:t>
                  </w:r>
                  <w:r w:rsidRPr="009C5A2B">
                    <w:rPr>
                      <w:rFonts w:ascii="Times New Roman" w:eastAsia="Times New Roman" w:hAnsi="Times New Roman" w:cs="Times New Roman"/>
                      <w:sz w:val="24"/>
                      <w:szCs w:val="24"/>
                      <w:lang w:eastAsia="ru-RU"/>
                    </w:rPr>
                    <w:br/>
                    <w:t>- дозиметр – не менее 1 ед.</w:t>
                  </w:r>
                  <w:r w:rsidRPr="009C5A2B">
                    <w:rPr>
                      <w:rFonts w:ascii="Times New Roman" w:eastAsia="Times New Roman" w:hAnsi="Times New Roman" w:cs="Times New Roman"/>
                      <w:sz w:val="24"/>
                      <w:szCs w:val="24"/>
                      <w:lang w:eastAsia="ru-RU"/>
                    </w:rPr>
                    <w:br/>
                    <w:t xml:space="preserve">- </w:t>
                  </w:r>
                  <w:proofErr w:type="spellStart"/>
                  <w:r w:rsidRPr="009C5A2B">
                    <w:rPr>
                      <w:rFonts w:ascii="Times New Roman" w:eastAsia="Times New Roman" w:hAnsi="Times New Roman" w:cs="Times New Roman"/>
                      <w:sz w:val="24"/>
                      <w:szCs w:val="24"/>
                      <w:lang w:eastAsia="ru-RU"/>
                    </w:rPr>
                    <w:t>копировально</w:t>
                  </w:r>
                  <w:proofErr w:type="spellEnd"/>
                  <w:r w:rsidRPr="009C5A2B">
                    <w:rPr>
                      <w:rFonts w:ascii="Times New Roman" w:eastAsia="Times New Roman" w:hAnsi="Times New Roman" w:cs="Times New Roman"/>
                      <w:sz w:val="24"/>
                      <w:szCs w:val="24"/>
                      <w:lang w:eastAsia="ru-RU"/>
                    </w:rPr>
                    <w:t xml:space="preserve"> - множительная техника - не менее 3 ед.</w:t>
                  </w:r>
                  <w:r w:rsidRPr="009C5A2B">
                    <w:rPr>
                      <w:rFonts w:ascii="Times New Roman" w:eastAsia="Times New Roman" w:hAnsi="Times New Roman" w:cs="Times New Roman"/>
                      <w:sz w:val="24"/>
                      <w:szCs w:val="24"/>
                      <w:lang w:eastAsia="ru-RU"/>
                    </w:rPr>
                    <w:br/>
                    <w:t>- инженерная система с функцией широкоформатной печати не менее 1 ед.</w:t>
                  </w:r>
                  <w:r w:rsidRPr="009C5A2B">
                    <w:rPr>
                      <w:rFonts w:ascii="Times New Roman" w:eastAsia="Times New Roman" w:hAnsi="Times New Roman" w:cs="Times New Roman"/>
                      <w:sz w:val="24"/>
                      <w:szCs w:val="24"/>
                      <w:lang w:eastAsia="ru-RU"/>
                    </w:rPr>
                    <w:br/>
                    <w:t>- персональные компьютеры - не менее 15 ед.</w:t>
                  </w:r>
                  <w:r w:rsidRPr="009C5A2B">
                    <w:rPr>
                      <w:rFonts w:ascii="Times New Roman" w:eastAsia="Times New Roman" w:hAnsi="Times New Roman" w:cs="Times New Roman"/>
                      <w:sz w:val="24"/>
                      <w:szCs w:val="24"/>
                      <w:lang w:eastAsia="ru-RU"/>
                    </w:rPr>
                    <w:br/>
                    <w:t>Наличие программного обеспечения:</w:t>
                  </w:r>
                  <w:r w:rsidRPr="009C5A2B">
                    <w:rPr>
                      <w:rFonts w:ascii="Times New Roman" w:eastAsia="Times New Roman" w:hAnsi="Times New Roman" w:cs="Times New Roman"/>
                      <w:sz w:val="24"/>
                      <w:szCs w:val="24"/>
                      <w:lang w:eastAsia="ru-RU"/>
                    </w:rPr>
                    <w:br/>
                    <w:t xml:space="preserve">- </w:t>
                  </w:r>
                  <w:proofErr w:type="spellStart"/>
                  <w:r w:rsidRPr="009C5A2B">
                    <w:rPr>
                      <w:rFonts w:ascii="Times New Roman" w:eastAsia="Times New Roman" w:hAnsi="Times New Roman" w:cs="Times New Roman"/>
                      <w:sz w:val="24"/>
                      <w:szCs w:val="24"/>
                      <w:lang w:eastAsia="ru-RU"/>
                    </w:rPr>
                    <w:t>Microsoft</w:t>
                  </w:r>
                  <w:proofErr w:type="spellEnd"/>
                  <w:r w:rsidRPr="009C5A2B">
                    <w:rPr>
                      <w:rFonts w:ascii="Times New Roman" w:eastAsia="Times New Roman" w:hAnsi="Times New Roman" w:cs="Times New Roman"/>
                      <w:sz w:val="24"/>
                      <w:szCs w:val="24"/>
                      <w:lang w:eastAsia="ru-RU"/>
                    </w:rPr>
                    <w:t xml:space="preserve"> </w:t>
                  </w:r>
                  <w:proofErr w:type="spellStart"/>
                  <w:r w:rsidRPr="009C5A2B">
                    <w:rPr>
                      <w:rFonts w:ascii="Times New Roman" w:eastAsia="Times New Roman" w:hAnsi="Times New Roman" w:cs="Times New Roman"/>
                      <w:sz w:val="24"/>
                      <w:szCs w:val="24"/>
                      <w:lang w:eastAsia="ru-RU"/>
                    </w:rPr>
                    <w:t>Offise</w:t>
                  </w:r>
                  <w:proofErr w:type="spellEnd"/>
                  <w:r w:rsidRPr="009C5A2B">
                    <w:rPr>
                      <w:rFonts w:ascii="Times New Roman" w:eastAsia="Times New Roman" w:hAnsi="Times New Roman" w:cs="Times New Roman"/>
                      <w:sz w:val="24"/>
                      <w:szCs w:val="24"/>
                      <w:lang w:eastAsia="ru-RU"/>
                    </w:rPr>
                    <w:t xml:space="preserve"> версии не ниже 2003;</w:t>
                  </w:r>
                  <w:r w:rsidRPr="009C5A2B">
                    <w:rPr>
                      <w:rFonts w:ascii="Times New Roman" w:eastAsia="Times New Roman" w:hAnsi="Times New Roman" w:cs="Times New Roman"/>
                      <w:sz w:val="24"/>
                      <w:szCs w:val="24"/>
                      <w:lang w:eastAsia="ru-RU"/>
                    </w:rPr>
                    <w:br/>
                    <w:t xml:space="preserve">- </w:t>
                  </w:r>
                  <w:proofErr w:type="spellStart"/>
                  <w:r w:rsidRPr="009C5A2B">
                    <w:rPr>
                      <w:rFonts w:ascii="Times New Roman" w:eastAsia="Times New Roman" w:hAnsi="Times New Roman" w:cs="Times New Roman"/>
                      <w:sz w:val="24"/>
                      <w:szCs w:val="24"/>
                      <w:lang w:eastAsia="ru-RU"/>
                    </w:rPr>
                    <w:t>AutoCAD</w:t>
                  </w:r>
                  <w:proofErr w:type="spellEnd"/>
                  <w:r w:rsidRPr="009C5A2B">
                    <w:rPr>
                      <w:rFonts w:ascii="Times New Roman" w:eastAsia="Times New Roman" w:hAnsi="Times New Roman" w:cs="Times New Roman"/>
                      <w:sz w:val="24"/>
                      <w:szCs w:val="24"/>
                      <w:lang w:eastAsia="ru-RU"/>
                    </w:rPr>
                    <w:t xml:space="preserve"> 2012;</w:t>
                  </w:r>
                  <w:r w:rsidRPr="009C5A2B">
                    <w:rPr>
                      <w:rFonts w:ascii="Times New Roman" w:eastAsia="Times New Roman" w:hAnsi="Times New Roman" w:cs="Times New Roman"/>
                      <w:sz w:val="24"/>
                      <w:szCs w:val="24"/>
                      <w:lang w:eastAsia="ru-RU"/>
                    </w:rPr>
                    <w:br/>
                    <w:t>- Гранд Смета версии не ниже 5.5.3 с базами ХМАО (ред. 2010 изм. 1,2);</w:t>
                  </w:r>
                  <w:r w:rsidRPr="009C5A2B">
                    <w:rPr>
                      <w:rFonts w:ascii="Times New Roman" w:eastAsia="Times New Roman" w:hAnsi="Times New Roman" w:cs="Times New Roman"/>
                      <w:sz w:val="24"/>
                      <w:szCs w:val="24"/>
                      <w:lang w:eastAsia="ru-RU"/>
                    </w:rPr>
                    <w:br/>
                    <w:t xml:space="preserve">- Наличие ПО </w:t>
                  </w:r>
                  <w:proofErr w:type="spellStart"/>
                  <w:r w:rsidRPr="009C5A2B">
                    <w:rPr>
                      <w:rFonts w:ascii="Times New Roman" w:eastAsia="Times New Roman" w:hAnsi="Times New Roman" w:cs="Times New Roman"/>
                      <w:sz w:val="24"/>
                      <w:szCs w:val="24"/>
                      <w:lang w:eastAsia="ru-RU"/>
                    </w:rPr>
                    <w:t>Primavera</w:t>
                  </w:r>
                  <w:proofErr w:type="spellEnd"/>
                  <w:r w:rsidRPr="009C5A2B">
                    <w:rPr>
                      <w:rFonts w:ascii="Times New Roman" w:eastAsia="Times New Roman" w:hAnsi="Times New Roman" w:cs="Times New Roman"/>
                      <w:sz w:val="24"/>
                      <w:szCs w:val="24"/>
                      <w:lang w:eastAsia="ru-RU"/>
                    </w:rPr>
                    <w:t>.</w:t>
                  </w:r>
                  <w:r w:rsidRPr="009C5A2B">
                    <w:rPr>
                      <w:rFonts w:ascii="Times New Roman" w:eastAsia="Times New Roman" w:hAnsi="Times New Roman" w:cs="Times New Roman"/>
                      <w:sz w:val="24"/>
                      <w:szCs w:val="24"/>
                      <w:lang w:eastAsia="ru-RU"/>
                    </w:rPr>
                    <w:br/>
                    <w:t xml:space="preserve">Участник конкурса должен иметь опыт выполнения аналогичных договоров – выполнение проектно-изыскательских работ по строительству ПС 110 </w:t>
                  </w:r>
                  <w:proofErr w:type="spellStart"/>
                  <w:r w:rsidRPr="009C5A2B">
                    <w:rPr>
                      <w:rFonts w:ascii="Times New Roman" w:eastAsia="Times New Roman" w:hAnsi="Times New Roman" w:cs="Times New Roman"/>
                      <w:sz w:val="24"/>
                      <w:szCs w:val="24"/>
                      <w:lang w:eastAsia="ru-RU"/>
                    </w:rPr>
                    <w:t>кВ</w:t>
                  </w:r>
                  <w:proofErr w:type="spellEnd"/>
                  <w:r w:rsidRPr="009C5A2B">
                    <w:rPr>
                      <w:rFonts w:ascii="Times New Roman" w:eastAsia="Times New Roman" w:hAnsi="Times New Roman" w:cs="Times New Roman"/>
                      <w:sz w:val="24"/>
                      <w:szCs w:val="24"/>
                      <w:lang w:eastAsia="ru-RU"/>
                    </w:rPr>
                    <w:t xml:space="preserve"> с питающими </w:t>
                  </w:r>
                  <w:proofErr w:type="gramStart"/>
                  <w:r w:rsidRPr="009C5A2B">
                    <w:rPr>
                      <w:rFonts w:ascii="Times New Roman" w:eastAsia="Times New Roman" w:hAnsi="Times New Roman" w:cs="Times New Roman"/>
                      <w:sz w:val="24"/>
                      <w:szCs w:val="24"/>
                      <w:lang w:eastAsia="ru-RU"/>
                    </w:rPr>
                    <w:t>ВЛ</w:t>
                  </w:r>
                  <w:proofErr w:type="gramEnd"/>
                  <w:r w:rsidRPr="009C5A2B">
                    <w:rPr>
                      <w:rFonts w:ascii="Times New Roman" w:eastAsia="Times New Roman" w:hAnsi="Times New Roman" w:cs="Times New Roman"/>
                      <w:sz w:val="24"/>
                      <w:szCs w:val="24"/>
                      <w:lang w:eastAsia="ru-RU"/>
                    </w:rPr>
                    <w:t xml:space="preserve"> 110 </w:t>
                  </w:r>
                  <w:proofErr w:type="spellStart"/>
                  <w:r w:rsidRPr="009C5A2B">
                    <w:rPr>
                      <w:rFonts w:ascii="Times New Roman" w:eastAsia="Times New Roman" w:hAnsi="Times New Roman" w:cs="Times New Roman"/>
                      <w:sz w:val="24"/>
                      <w:szCs w:val="24"/>
                      <w:lang w:eastAsia="ru-RU"/>
                    </w:rPr>
                    <w:t>кВ</w:t>
                  </w:r>
                  <w:proofErr w:type="spellEnd"/>
                  <w:r w:rsidRPr="009C5A2B">
                    <w:rPr>
                      <w:rFonts w:ascii="Times New Roman" w:eastAsia="Times New Roman" w:hAnsi="Times New Roman" w:cs="Times New Roman"/>
                      <w:sz w:val="24"/>
                      <w:szCs w:val="24"/>
                      <w:lang w:eastAsia="ru-RU"/>
                    </w:rPr>
                    <w:t xml:space="preserve"> и выше, в сопоставимых с предметом закупки объемах, и положительную репутацию подтвержденную отзывами о выполнении аналогичных договоров</w:t>
                  </w:r>
                  <w:r w:rsidRPr="009C5A2B">
                    <w:rPr>
                      <w:rFonts w:ascii="Times New Roman" w:eastAsia="Times New Roman" w:hAnsi="Times New Roman" w:cs="Times New Roman"/>
                      <w:sz w:val="24"/>
                      <w:szCs w:val="24"/>
                      <w:lang w:eastAsia="ru-RU"/>
                    </w:rPr>
                    <w:br/>
                    <w:t xml:space="preserve">Заключение аудиторской проверки за последний отчетный год (для юридических лиц) в случаях, когда проведение аудиторской проверки в соответствии с законодательством Российской Федерации </w:t>
                  </w:r>
                  <w:proofErr w:type="gramStart"/>
                  <w:r w:rsidRPr="009C5A2B">
                    <w:rPr>
                      <w:rFonts w:ascii="Times New Roman" w:eastAsia="Times New Roman" w:hAnsi="Times New Roman" w:cs="Times New Roman"/>
                      <w:sz w:val="24"/>
                      <w:szCs w:val="24"/>
                      <w:lang w:eastAsia="ru-RU"/>
                    </w:rPr>
                    <w:t>обязательно для Участника конкурса, а также в случае наличия заключения аудиторской проверки при проведении Участником добровольного аудита</w:t>
                  </w:r>
                  <w:r w:rsidRPr="009C5A2B">
                    <w:rPr>
                      <w:rFonts w:ascii="Times New Roman" w:eastAsia="Times New Roman" w:hAnsi="Times New Roman" w:cs="Times New Roman"/>
                      <w:sz w:val="24"/>
                      <w:szCs w:val="24"/>
                      <w:lang w:eastAsia="ru-RU"/>
                    </w:rPr>
                    <w:b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9C5A2B">
                    <w:rPr>
                      <w:rFonts w:ascii="Times New Roman" w:eastAsia="Times New Roman" w:hAnsi="Times New Roman" w:cs="Times New Roman"/>
                      <w:sz w:val="24"/>
                      <w:szCs w:val="24"/>
                      <w:lang w:eastAsia="ru-RU"/>
                    </w:rPr>
                    <w:t xml:space="preserve"> </w:t>
                  </w:r>
                  <w:proofErr w:type="gramStart"/>
                  <w:r w:rsidRPr="009C5A2B">
                    <w:rPr>
                      <w:rFonts w:ascii="Times New Roman" w:eastAsia="Times New Roman" w:hAnsi="Times New Roman" w:cs="Times New Roman"/>
                      <w:sz w:val="24"/>
                      <w:szCs w:val="24"/>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9C5A2B">
                    <w:rPr>
                      <w:rFonts w:ascii="Times New Roman" w:eastAsia="Times New Roman" w:hAnsi="Times New Roman" w:cs="Times New Roman"/>
                      <w:sz w:val="24"/>
                      <w:szCs w:val="24"/>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9C5A2B">
                    <w:rPr>
                      <w:rFonts w:ascii="Times New Roman" w:eastAsia="Times New Roman" w:hAnsi="Times New Roman" w:cs="Times New Roman"/>
                      <w:sz w:val="24"/>
                      <w:szCs w:val="24"/>
                      <w:lang w:eastAsia="ru-RU"/>
                    </w:rPr>
                    <w:br/>
                    <w:t xml:space="preserve">- </w:t>
                  </w:r>
                  <w:proofErr w:type="gramStart"/>
                  <w:r w:rsidRPr="009C5A2B">
                    <w:rPr>
                      <w:rFonts w:ascii="Times New Roman" w:eastAsia="Times New Roman" w:hAnsi="Times New Roman" w:cs="Times New Roman"/>
                      <w:sz w:val="24"/>
                      <w:szCs w:val="24"/>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C5A2B">
                    <w:rPr>
                      <w:rFonts w:ascii="Times New Roman" w:eastAsia="Times New Roman" w:hAnsi="Times New Roman" w:cs="Times New Roman"/>
                      <w:sz w:val="24"/>
                      <w:szCs w:val="24"/>
                      <w:lang w:eastAsia="ru-RU"/>
                    </w:rPr>
                    <w:br/>
                    <w:t>- Деятельность Участника должна быть безубыточной за последний завершенный год;</w:t>
                  </w:r>
                  <w:r w:rsidRPr="009C5A2B">
                    <w:rPr>
                      <w:rFonts w:ascii="Times New Roman" w:eastAsia="Times New Roman" w:hAnsi="Times New Roman" w:cs="Times New Roman"/>
                      <w:sz w:val="24"/>
                      <w:szCs w:val="24"/>
                      <w:lang w:eastAsia="ru-RU"/>
                    </w:rPr>
                    <w:br/>
                    <w:t>- Экономическая деятельности Участника не должна быть приостановлена в административном порядке;</w:t>
                  </w:r>
                  <w:r w:rsidRPr="009C5A2B">
                    <w:rPr>
                      <w:rFonts w:ascii="Times New Roman" w:eastAsia="Times New Roman" w:hAnsi="Times New Roman" w:cs="Times New Roman"/>
                      <w:sz w:val="24"/>
                      <w:szCs w:val="24"/>
                      <w:lang w:eastAsia="ru-RU"/>
                    </w:rPr>
                    <w:br/>
                    <w:t>- Участник не должен иметь задолженность по уплате налогов;</w:t>
                  </w:r>
                  <w:proofErr w:type="gramEnd"/>
                  <w:r w:rsidRPr="009C5A2B">
                    <w:rPr>
                      <w:rFonts w:ascii="Times New Roman" w:eastAsia="Times New Roman" w:hAnsi="Times New Roman" w:cs="Times New Roman"/>
                      <w:sz w:val="24"/>
                      <w:szCs w:val="24"/>
                      <w:lang w:eastAsia="ru-RU"/>
                    </w:rPr>
                    <w:br/>
                    <w:t>- На имущество Участника не должен быть наложен арест;</w:t>
                  </w:r>
                  <w:r w:rsidRPr="009C5A2B">
                    <w:rPr>
                      <w:rFonts w:ascii="Times New Roman" w:eastAsia="Times New Roman" w:hAnsi="Times New Roman" w:cs="Times New Roman"/>
                      <w:sz w:val="24"/>
                      <w:szCs w:val="24"/>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9C5A2B">
                    <w:rPr>
                      <w:rFonts w:ascii="Times New Roman" w:eastAsia="Times New Roman" w:hAnsi="Times New Roman" w:cs="Times New Roman"/>
                      <w:sz w:val="24"/>
                      <w:szCs w:val="24"/>
                      <w:lang w:eastAsia="ru-RU"/>
                    </w:rPr>
                    <w:br/>
                    <w:t xml:space="preserve">- </w:t>
                  </w:r>
                  <w:proofErr w:type="gramStart"/>
                  <w:r w:rsidRPr="009C5A2B">
                    <w:rPr>
                      <w:rFonts w:ascii="Times New Roman" w:eastAsia="Times New Roman" w:hAnsi="Times New Roman" w:cs="Times New Roman"/>
                      <w:sz w:val="24"/>
                      <w:szCs w:val="2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9C5A2B">
                    <w:rPr>
                      <w:rFonts w:ascii="Times New Roman" w:eastAsia="Times New Roman" w:hAnsi="Times New Roman" w:cs="Times New Roman"/>
                      <w:sz w:val="24"/>
                      <w:szCs w:val="24"/>
                      <w:lang w:eastAsia="ru-RU"/>
                    </w:rPr>
                    <w:t xml:space="preserve"> нужд»;</w:t>
                  </w:r>
                  <w:r w:rsidRPr="009C5A2B">
                    <w:rPr>
                      <w:rFonts w:ascii="Times New Roman" w:eastAsia="Times New Roman" w:hAnsi="Times New Roman" w:cs="Times New Roman"/>
                      <w:sz w:val="24"/>
                      <w:szCs w:val="24"/>
                      <w:lang w:eastAsia="ru-RU"/>
                    </w:rPr>
                    <w:br/>
                    <w:t>- Участник не должен быть аффилирован к ОАО «Тюменьэнерго»;</w:t>
                  </w:r>
                  <w:r w:rsidRPr="009C5A2B">
                    <w:rPr>
                      <w:rFonts w:ascii="Times New Roman" w:eastAsia="Times New Roman" w:hAnsi="Times New Roman" w:cs="Times New Roman"/>
                      <w:sz w:val="24"/>
                      <w:szCs w:val="24"/>
                      <w:lang w:eastAsia="ru-RU"/>
                    </w:rPr>
                    <w:br/>
                    <w:t>- Участник не должен быть аффилирован к другим участникам регламентированной закупочной процедуры;</w:t>
                  </w:r>
                  <w:r w:rsidRPr="009C5A2B">
                    <w:rPr>
                      <w:rFonts w:ascii="Times New Roman" w:eastAsia="Times New Roman" w:hAnsi="Times New Roman" w:cs="Times New Roman"/>
                      <w:sz w:val="24"/>
                      <w:szCs w:val="24"/>
                      <w:lang w:eastAsia="ru-RU"/>
                    </w:rPr>
                    <w:br/>
                    <w:t xml:space="preserve">- </w:t>
                  </w:r>
                  <w:proofErr w:type="gramStart"/>
                  <w:r w:rsidRPr="009C5A2B">
                    <w:rPr>
                      <w:rFonts w:ascii="Times New Roman" w:eastAsia="Times New Roman" w:hAnsi="Times New Roman" w:cs="Times New Roman"/>
                      <w:sz w:val="24"/>
                      <w:szCs w:val="24"/>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9C5A2B">
                    <w:rPr>
                      <w:rFonts w:ascii="Times New Roman" w:eastAsia="Times New Roman" w:hAnsi="Times New Roman" w:cs="Times New Roman"/>
                      <w:sz w:val="24"/>
                      <w:szCs w:val="24"/>
                      <w:lang w:eastAsia="ru-RU"/>
                    </w:rPr>
                    <w:br/>
                    <w:t>- Отсутствие сведений о предстоящем исключении контрагента из ЕГРЮЛ/ЕГРИП;</w:t>
                  </w:r>
                  <w:proofErr w:type="gramEnd"/>
                  <w:r w:rsidRPr="009C5A2B">
                    <w:rPr>
                      <w:rFonts w:ascii="Times New Roman" w:eastAsia="Times New Roman" w:hAnsi="Times New Roman" w:cs="Times New Roman"/>
                      <w:sz w:val="24"/>
                      <w:szCs w:val="24"/>
                      <w:lang w:eastAsia="ru-RU"/>
                    </w:rPr>
                    <w:br/>
                    <w:t>- Отсутствие фактов предоставления недостоверных сведений и документов в рамках закупочной процедуры;</w:t>
                  </w:r>
                  <w:r w:rsidRPr="009C5A2B">
                    <w:rPr>
                      <w:rFonts w:ascii="Times New Roman" w:eastAsia="Times New Roman" w:hAnsi="Times New Roman" w:cs="Times New Roman"/>
                      <w:sz w:val="24"/>
                      <w:szCs w:val="24"/>
                      <w:lang w:eastAsia="ru-RU"/>
                    </w:rPr>
                    <w:br/>
                    <w:t>- Субподрядные организации, заявленные Участником в качестве соисполнителей, также должны соответствовать требованиям, перечисленным в настоящем подпункте.</w:t>
                  </w:r>
                  <w:r w:rsidRPr="009C5A2B">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Комплект конкурсной документации:</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 xml:space="preserve">Конкурсную </w:t>
                  </w:r>
                  <w:proofErr w:type="gramStart"/>
                  <w:r w:rsidRPr="009C5A2B">
                    <w:rPr>
                      <w:rFonts w:ascii="Times New Roman" w:eastAsia="Times New Roman" w:hAnsi="Times New Roman" w:cs="Times New Roman"/>
                      <w:sz w:val="24"/>
                      <w:szCs w:val="24"/>
                      <w:lang w:eastAsia="ru-RU"/>
                    </w:rPr>
                    <w:t>документацию</w:t>
                  </w:r>
                  <w:proofErr w:type="gramEnd"/>
                  <w:r w:rsidRPr="009C5A2B">
                    <w:rPr>
                      <w:rFonts w:ascii="Times New Roman" w:eastAsia="Times New Roman" w:hAnsi="Times New Roman" w:cs="Times New Roman"/>
                      <w:sz w:val="24"/>
                      <w:szCs w:val="24"/>
                      <w:lang w:eastAsia="ru-RU"/>
                    </w:rPr>
                    <w:t xml:space="preserve"> возможно получить на официальном сайте РФ – www.zakupki.gov.ru, </w:t>
                  </w:r>
                  <w:proofErr w:type="spellStart"/>
                  <w:r w:rsidRPr="009C5A2B">
                    <w:rPr>
                      <w:rFonts w:ascii="Times New Roman" w:eastAsia="Times New Roman" w:hAnsi="Times New Roman" w:cs="Times New Roman"/>
                      <w:sz w:val="24"/>
                      <w:szCs w:val="24"/>
                      <w:lang w:eastAsia="ru-RU"/>
                    </w:rPr>
                    <w:t>электронно</w:t>
                  </w:r>
                  <w:proofErr w:type="spellEnd"/>
                  <w:r w:rsidRPr="009C5A2B">
                    <w:rPr>
                      <w:rFonts w:ascii="Times New Roman" w:eastAsia="Times New Roman" w:hAnsi="Times New Roman" w:cs="Times New Roman"/>
                      <w:sz w:val="24"/>
                      <w:szCs w:val="24"/>
                      <w:lang w:eastAsia="ru-RU"/>
                    </w:rPr>
                    <w:t xml:space="preserve"> торговой площадку - http://www.b2b-MRSK.ru/</w:t>
                  </w:r>
                  <w:r w:rsidRPr="009C5A2B">
                    <w:rPr>
                      <w:rFonts w:ascii="Times New Roman" w:eastAsia="Times New Roman" w:hAnsi="Times New Roman" w:cs="Times New Roman"/>
                      <w:sz w:val="24"/>
                      <w:szCs w:val="24"/>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9C5A2B">
                    <w:rPr>
                      <w:rFonts w:ascii="Times New Roman" w:eastAsia="Times New Roman" w:hAnsi="Times New Roman" w:cs="Times New Roman"/>
                      <w:sz w:val="24"/>
                      <w:szCs w:val="24"/>
                      <w:lang w:eastAsia="ru-RU"/>
                    </w:rPr>
                    <w:t>с даты размещения</w:t>
                  </w:r>
                  <w:proofErr w:type="gramEnd"/>
                  <w:r w:rsidRPr="009C5A2B">
                    <w:rPr>
                      <w:rFonts w:ascii="Times New Roman" w:eastAsia="Times New Roman" w:hAnsi="Times New Roman" w:cs="Times New Roman"/>
                      <w:sz w:val="24"/>
                      <w:szCs w:val="24"/>
                      <w:lang w:eastAsia="ru-RU"/>
                    </w:rPr>
                    <w:t xml:space="preserve"> закупки.</w:t>
                  </w:r>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Финансовое обеспечение заявки в размере 3 % от общей стоимости предложения Участника закупки (с учетом налогов).</w:t>
                  </w:r>
                  <w:r w:rsidRPr="009C5A2B">
                    <w:rPr>
                      <w:rFonts w:ascii="Times New Roman" w:eastAsia="Times New Roman" w:hAnsi="Times New Roman" w:cs="Times New Roman"/>
                      <w:sz w:val="24"/>
                      <w:szCs w:val="24"/>
                      <w:lang w:eastAsia="ru-RU"/>
                    </w:rPr>
                    <w:br/>
                    <w:t>Задаток должен быть зачислен на расчетный счет Заказчика до момента окончания срока подачи заявок на участие в закупке. В противном случае задаток считается невнесенным.</w:t>
                  </w:r>
                  <w:r w:rsidRPr="009C5A2B">
                    <w:rPr>
                      <w:rFonts w:ascii="Times New Roman" w:eastAsia="Times New Roman" w:hAnsi="Times New Roman" w:cs="Times New Roman"/>
                      <w:sz w:val="24"/>
                      <w:szCs w:val="24"/>
                      <w:lang w:eastAsia="ru-RU"/>
                    </w:rPr>
                    <w:br/>
                    <w:t>Обеспечение обязательств по договору осуществляется двумя способами.</w:t>
                  </w:r>
                  <w:r w:rsidRPr="009C5A2B">
                    <w:rPr>
                      <w:rFonts w:ascii="Times New Roman" w:eastAsia="Times New Roman" w:hAnsi="Times New Roman" w:cs="Times New Roman"/>
                      <w:sz w:val="24"/>
                      <w:szCs w:val="24"/>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9C5A2B">
                    <w:rPr>
                      <w:rFonts w:ascii="Times New Roman" w:eastAsia="Times New Roman" w:hAnsi="Times New Roman" w:cs="Times New Roman"/>
                      <w:sz w:val="24"/>
                      <w:szCs w:val="24"/>
                      <w:lang w:eastAsia="ru-RU"/>
                    </w:rPr>
                    <w:br/>
                  </w:r>
                  <w:r w:rsidRPr="009C5A2B">
                    <w:rPr>
                      <w:rFonts w:ascii="Times New Roman" w:eastAsia="Times New Roman" w:hAnsi="Times New Roman" w:cs="Times New Roman"/>
                      <w:sz w:val="24"/>
                      <w:szCs w:val="24"/>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9C5A2B">
                    <w:rPr>
                      <w:rFonts w:ascii="Times New Roman" w:eastAsia="Times New Roman" w:hAnsi="Times New Roman" w:cs="Times New Roman"/>
                      <w:sz w:val="24"/>
                      <w:szCs w:val="24"/>
                      <w:lang w:eastAsia="ru-RU"/>
                    </w:rPr>
                    <w:br/>
                  </w:r>
                  <w:r w:rsidRPr="009C5A2B">
                    <w:rPr>
                      <w:rFonts w:ascii="Times New Roman" w:eastAsia="Times New Roman" w:hAnsi="Times New Roman" w:cs="Times New Roman"/>
                      <w:sz w:val="24"/>
                      <w:szCs w:val="24"/>
                      <w:lang w:eastAsia="ru-RU"/>
                    </w:rPr>
                    <w:br/>
                  </w:r>
                  <w:proofErr w:type="spellStart"/>
                  <w:proofErr w:type="gramStart"/>
                  <w:r w:rsidRPr="009C5A2B">
                    <w:rPr>
                      <w:rFonts w:ascii="Times New Roman" w:eastAsia="Times New Roman" w:hAnsi="Times New Roman" w:cs="Times New Roman"/>
                      <w:sz w:val="24"/>
                      <w:szCs w:val="24"/>
                      <w:lang w:eastAsia="ru-RU"/>
                    </w:rPr>
                    <w:t>Непредоставление</w:t>
                  </w:r>
                  <w:proofErr w:type="spellEnd"/>
                  <w:r w:rsidRPr="009C5A2B">
                    <w:rPr>
                      <w:rFonts w:ascii="Times New Roman" w:eastAsia="Times New Roman" w:hAnsi="Times New Roman" w:cs="Times New Roman"/>
                      <w:sz w:val="24"/>
                      <w:szCs w:val="24"/>
                      <w:lang w:eastAsia="ru-RU"/>
                    </w:rPr>
                    <w:t xml:space="preserve"> Победителем безотзывной безусловной банковской гарантии,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в срок, указанный в Конкурсной (Закупочной) документации, является уклонением (отказом) 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установленном</w:t>
                  </w:r>
                  <w:proofErr w:type="gramEnd"/>
                  <w:r w:rsidRPr="009C5A2B">
                    <w:rPr>
                      <w:rFonts w:ascii="Times New Roman" w:eastAsia="Times New Roman" w:hAnsi="Times New Roman" w:cs="Times New Roman"/>
                      <w:sz w:val="24"/>
                      <w:szCs w:val="24"/>
                      <w:lang w:eastAsia="ru-RU"/>
                    </w:rPr>
                    <w:t xml:space="preserve"> статьей 5 Федерального закона от 18.07.2011г. №223-ФЗ «О закупках товаров, работ, услуг отдельными видами юридических лиц». При этом Заказчик (Организатор закупки) имеет право не возвращать (удержать) задаток в качестве обеспечения участия в закупочной процедуре.</w:t>
                  </w:r>
                  <w:r w:rsidRPr="009C5A2B">
                    <w:rPr>
                      <w:rFonts w:ascii="Times New Roman" w:eastAsia="Times New Roman" w:hAnsi="Times New Roman" w:cs="Times New Roman"/>
                      <w:sz w:val="24"/>
                      <w:szCs w:val="24"/>
                      <w:lang w:eastAsia="ru-RU"/>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9C5A2B">
                    <w:rPr>
                      <w:rFonts w:ascii="Times New Roman" w:eastAsia="Times New Roman" w:hAnsi="Times New Roman" w:cs="Times New Roman"/>
                      <w:sz w:val="24"/>
                      <w:szCs w:val="24"/>
                      <w:lang w:eastAsia="ru-RU"/>
                    </w:rPr>
                    <w:br/>
                    <w:t>Кредитная организация, выдавшая комфортное/гарантийное письмо, должна удовлетворять следующим требованиям:</w:t>
                  </w:r>
                  <w:r w:rsidRPr="009C5A2B">
                    <w:rPr>
                      <w:rFonts w:ascii="Times New Roman" w:eastAsia="Times New Roman" w:hAnsi="Times New Roman" w:cs="Times New Roman"/>
                      <w:sz w:val="24"/>
                      <w:szCs w:val="24"/>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9C5A2B">
                    <w:rPr>
                      <w:rFonts w:ascii="Times New Roman" w:eastAsia="Times New Roman" w:hAnsi="Times New Roman" w:cs="Times New Roman"/>
                      <w:sz w:val="24"/>
                      <w:szCs w:val="24"/>
                      <w:lang w:eastAsia="ru-RU"/>
                    </w:rPr>
                    <w:t>,</w:t>
                  </w:r>
                  <w:proofErr w:type="gramEnd"/>
                  <w:r w:rsidRPr="009C5A2B">
                    <w:rPr>
                      <w:rFonts w:ascii="Times New Roman" w:eastAsia="Times New Roman" w:hAnsi="Times New Roman" w:cs="Times New Roman"/>
                      <w:sz w:val="24"/>
                      <w:szCs w:val="24"/>
                      <w:lang w:eastAsia="ru-RU"/>
                    </w:rPr>
                    <w:t xml:space="preserve"> чем на 6 (шесть) календарных месяцев;</w:t>
                  </w:r>
                  <w:r w:rsidRPr="009C5A2B">
                    <w:rPr>
                      <w:rFonts w:ascii="Times New Roman" w:eastAsia="Times New Roman" w:hAnsi="Times New Roman" w:cs="Times New Roman"/>
                      <w:sz w:val="24"/>
                      <w:szCs w:val="24"/>
                      <w:lang w:eastAsia="ru-RU"/>
                    </w:rPr>
                    <w:br/>
                    <w:t>б) участвовать в системе страхования вкладов;</w:t>
                  </w:r>
                  <w:r w:rsidRPr="009C5A2B">
                    <w:rPr>
                      <w:rFonts w:ascii="Times New Roman" w:eastAsia="Times New Roman" w:hAnsi="Times New Roman" w:cs="Times New Roman"/>
                      <w:sz w:val="24"/>
                      <w:szCs w:val="24"/>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9C5A2B">
                    <w:rPr>
                      <w:rFonts w:ascii="Times New Roman" w:eastAsia="Times New Roman" w:hAnsi="Times New Roman" w:cs="Times New Roman"/>
                      <w:sz w:val="24"/>
                      <w:szCs w:val="24"/>
                      <w:lang w:eastAsia="ru-RU"/>
                    </w:rPr>
                    <w:br/>
                  </w:r>
                  <w:r w:rsidRPr="009C5A2B">
                    <w:rPr>
                      <w:rFonts w:ascii="Times New Roman" w:eastAsia="Times New Roman" w:hAnsi="Times New Roman" w:cs="Times New Roman"/>
                      <w:sz w:val="24"/>
                      <w:szCs w:val="24"/>
                      <w:lang w:eastAsia="ru-RU"/>
                    </w:rPr>
                    <w:br/>
                    <w:t>Не предоставление комфортного/гарантийного письма является основанием к отклонению заявки Участника</w:t>
                  </w:r>
                  <w:r w:rsidRPr="009C5A2B">
                    <w:rPr>
                      <w:rFonts w:ascii="Times New Roman" w:eastAsia="Times New Roman" w:hAnsi="Times New Roman" w:cs="Times New Roman"/>
                      <w:sz w:val="24"/>
                      <w:szCs w:val="24"/>
                      <w:lang w:eastAsia="ru-RU"/>
                    </w:rPr>
                    <w:br/>
                  </w:r>
                  <w:r w:rsidRPr="009C5A2B">
                    <w:rPr>
                      <w:rFonts w:ascii="Times New Roman" w:eastAsia="Times New Roman" w:hAnsi="Times New Roman" w:cs="Times New Roman"/>
                      <w:sz w:val="24"/>
                      <w:szCs w:val="24"/>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Конкурсные заявки:</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9C5A2B">
                    <w:rPr>
                      <w:rFonts w:ascii="Times New Roman" w:eastAsia="Times New Roman" w:hAnsi="Times New Roman" w:cs="Times New Roman"/>
                      <w:sz w:val="24"/>
                      <w:szCs w:val="24"/>
                      <w:lang w:eastAsia="ru-RU"/>
                    </w:rPr>
                    <w:t>дств в д</w:t>
                  </w:r>
                  <w:proofErr w:type="gramEnd"/>
                  <w:r w:rsidRPr="009C5A2B">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При выборе победителя учитывается:</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Цена с НДС</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Место вскрытия конвертов:</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 xml:space="preserve">Вскрытие конвертов с заявками состоится </w:t>
                  </w:r>
                  <w:r w:rsidRPr="009C5A2B">
                    <w:rPr>
                      <w:rFonts w:ascii="Times New Roman" w:eastAsia="Times New Roman" w:hAnsi="Times New Roman" w:cs="Times New Roman"/>
                      <w:b/>
                      <w:bCs/>
                      <w:sz w:val="24"/>
                      <w:szCs w:val="24"/>
                      <w:lang w:eastAsia="ru-RU"/>
                    </w:rPr>
                    <w:t>05.08.2013 в 07:30 по московскому времени</w:t>
                  </w:r>
                  <w:r w:rsidRPr="009C5A2B">
                    <w:rPr>
                      <w:rFonts w:ascii="Times New Roman" w:eastAsia="Times New Roman" w:hAnsi="Times New Roman" w:cs="Times New Roman"/>
                      <w:sz w:val="24"/>
                      <w:szCs w:val="24"/>
                      <w:lang w:eastAsia="ru-RU"/>
                    </w:rPr>
                    <w:t>.</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Дата рассмотрения предложений:</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26.08.2013 14:00</w:t>
                  </w:r>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628303, ХМАО-Югра, Тюменская область, город Нефтеюганск, ул. Мира, 15</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Дата и время подведения итогов:</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05.09.2013 14:00</w:t>
                  </w:r>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Место подведения итогов:</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628303, ХМАО-Югра, Тюменская область, город Нефтеюганск, ул. Мира, 15</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Победитель конкурса:</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ранжировки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Лимитная (начальная) цена закупки:</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Лот № 1. 41 159 860,00 руб. (Цена с НДС)</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Переторжка (регулирование цены):</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C5A2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C5A2B">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C5A2B" w:rsidRPr="009C5A2B">
              <w:trPr>
                <w:tblCellSpacing w:w="0" w:type="dxa"/>
              </w:trPr>
              <w:tc>
                <w:tcPr>
                  <w:tcW w:w="0" w:type="auto"/>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hyperlink w:history="1">
                    <w:r w:rsidRPr="009C5A2B">
                      <w:rPr>
                        <w:rFonts w:ascii="Times New Roman" w:eastAsia="Times New Roman" w:hAnsi="Times New Roman" w:cs="Times New Roman"/>
                        <w:color w:val="1C50A4"/>
                        <w:sz w:val="24"/>
                        <w:szCs w:val="24"/>
                        <w:lang w:eastAsia="ru-RU"/>
                      </w:rPr>
                      <w:t>Россия, Ханты-Мансийский Автономный округ - Югра, Тюменская обл., Нефтеюганский район</w:t>
                    </w:r>
                  </w:hyperlink>
                  <w:r w:rsidRPr="009C5A2B">
                    <w:rPr>
                      <w:rFonts w:ascii="Times New Roman" w:eastAsia="Times New Roman" w:hAnsi="Times New Roman" w:cs="Times New Roman"/>
                      <w:sz w:val="24"/>
                      <w:szCs w:val="24"/>
                      <w:lang w:eastAsia="ru-RU"/>
                    </w:rPr>
                    <w:t xml:space="preserve"> </w:t>
                  </w:r>
                </w:p>
              </w:tc>
            </w:tr>
            <w:tr w:rsidR="009C5A2B" w:rsidRPr="009C5A2B">
              <w:trPr>
                <w:tblCellSpacing w:w="0" w:type="dxa"/>
              </w:trPr>
              <w:tc>
                <w:tcPr>
                  <w:tcW w:w="0" w:type="auto"/>
                  <w:shd w:val="clear" w:color="auto" w:fill="F7F7F7"/>
                  <w:hideMark/>
                </w:tcPr>
                <w:p w:rsidR="009C5A2B" w:rsidRPr="009C5A2B" w:rsidRDefault="009C5A2B" w:rsidP="009C5A2B">
                  <w:pPr>
                    <w:spacing w:after="0" w:line="240" w:lineRule="auto"/>
                    <w:jc w:val="right"/>
                    <w:rPr>
                      <w:rFonts w:ascii="Times New Roman" w:eastAsia="Times New Roman" w:hAnsi="Times New Roman" w:cs="Times New Roman"/>
                      <w:sz w:val="24"/>
                      <w:szCs w:val="24"/>
                      <w:lang w:eastAsia="ru-RU"/>
                    </w:rPr>
                  </w:pPr>
                  <w:r w:rsidRPr="009C5A2B">
                    <w:rPr>
                      <w:rFonts w:ascii="Times New Roman" w:eastAsia="Times New Roman" w:hAnsi="Times New Roman" w:cs="Times New Roman"/>
                      <w:sz w:val="24"/>
                      <w:szCs w:val="24"/>
                      <w:lang w:eastAsia="ru-RU"/>
                    </w:rPr>
                    <w:t>Информация о подписи:</w:t>
                  </w:r>
                </w:p>
              </w:tc>
              <w:tc>
                <w:tcPr>
                  <w:tcW w:w="0" w:type="auto"/>
                  <w:shd w:val="clear" w:color="auto" w:fill="F7F7F7"/>
                  <w:hideMark/>
                </w:tcPr>
                <w:p w:rsidR="009C5A2B" w:rsidRPr="009C5A2B" w:rsidRDefault="009C5A2B" w:rsidP="009C5A2B">
                  <w:pPr>
                    <w:spacing w:after="0" w:line="240" w:lineRule="auto"/>
                    <w:rPr>
                      <w:rFonts w:ascii="Times New Roman" w:eastAsia="Times New Roman" w:hAnsi="Times New Roman" w:cs="Times New Roman"/>
                      <w:sz w:val="24"/>
                      <w:szCs w:val="24"/>
                      <w:lang w:eastAsia="ru-RU"/>
                    </w:rPr>
                  </w:pPr>
                  <w:hyperlink r:id="rId10" w:tgtFrame="signature" w:history="1">
                    <w:r w:rsidRPr="009C5A2B">
                      <w:rPr>
                        <w:rFonts w:ascii="Times New Roman" w:eastAsia="Times New Roman" w:hAnsi="Times New Roman" w:cs="Times New Roman"/>
                        <w:color w:val="1C50A4"/>
                        <w:sz w:val="24"/>
                        <w:szCs w:val="24"/>
                        <w:lang w:eastAsia="ru-RU"/>
                      </w:rPr>
                      <w:t>Подписано ЭП</w:t>
                    </w:r>
                  </w:hyperlink>
                </w:p>
              </w:tc>
            </w:tr>
          </w:tbl>
          <w:p w:rsidR="009C5A2B" w:rsidRPr="009C5A2B" w:rsidRDefault="009C5A2B" w:rsidP="009C5A2B">
            <w:pPr>
              <w:spacing w:after="0" w:line="240" w:lineRule="auto"/>
              <w:rPr>
                <w:rFonts w:ascii="Times New Roman" w:eastAsia="Times New Roman" w:hAnsi="Times New Roman" w:cs="Times New Roman"/>
                <w:sz w:val="24"/>
                <w:szCs w:val="24"/>
                <w:lang w:eastAsia="ru-RU"/>
              </w:rPr>
            </w:pPr>
          </w:p>
        </w:tc>
      </w:tr>
    </w:tbl>
    <w:p w:rsidR="002E6321" w:rsidRPr="009C5A2B" w:rsidRDefault="002E6321">
      <w:pPr>
        <w:rPr>
          <w:rFonts w:ascii="Times New Roman" w:hAnsi="Times New Roman" w:cs="Times New Roman"/>
          <w:sz w:val="24"/>
          <w:szCs w:val="24"/>
        </w:rPr>
      </w:pPr>
      <w:bookmarkStart w:id="0" w:name="_GoBack"/>
      <w:bookmarkEnd w:id="0"/>
    </w:p>
    <w:sectPr w:rsidR="002E6321" w:rsidRPr="009C5A2B"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AD"/>
    <w:rsid w:val="002E6321"/>
    <w:rsid w:val="009C5A2B"/>
    <w:rsid w:val="00B53FAD"/>
    <w:rsid w:val="00CB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5A2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A2B"/>
    <w:rPr>
      <w:rFonts w:ascii="Arial" w:eastAsia="Times New Roman" w:hAnsi="Arial" w:cs="Arial"/>
      <w:color w:val="333333"/>
      <w:kern w:val="36"/>
      <w:sz w:val="36"/>
      <w:szCs w:val="36"/>
      <w:lang w:eastAsia="ru-RU"/>
    </w:rPr>
  </w:style>
  <w:style w:type="character" w:customStyle="1" w:styleId="bg1">
    <w:name w:val="bg1"/>
    <w:basedOn w:val="a0"/>
    <w:rsid w:val="009C5A2B"/>
    <w:rPr>
      <w:color w:val="A0A0A0"/>
      <w:sz w:val="18"/>
      <w:szCs w:val="18"/>
    </w:rPr>
  </w:style>
  <w:style w:type="character" w:customStyle="1" w:styleId="userlinkmenu">
    <w:name w:val="userlink_menu"/>
    <w:basedOn w:val="a0"/>
    <w:rsid w:val="009C5A2B"/>
  </w:style>
  <w:style w:type="paragraph" w:styleId="z-">
    <w:name w:val="HTML Top of Form"/>
    <w:basedOn w:val="a"/>
    <w:next w:val="a"/>
    <w:link w:val="z-0"/>
    <w:hidden/>
    <w:uiPriority w:val="99"/>
    <w:semiHidden/>
    <w:unhideWhenUsed/>
    <w:rsid w:val="009C5A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C5A2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C5A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C5A2B"/>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5A2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A2B"/>
    <w:rPr>
      <w:rFonts w:ascii="Arial" w:eastAsia="Times New Roman" w:hAnsi="Arial" w:cs="Arial"/>
      <w:color w:val="333333"/>
      <w:kern w:val="36"/>
      <w:sz w:val="36"/>
      <w:szCs w:val="36"/>
      <w:lang w:eastAsia="ru-RU"/>
    </w:rPr>
  </w:style>
  <w:style w:type="character" w:customStyle="1" w:styleId="bg1">
    <w:name w:val="bg1"/>
    <w:basedOn w:val="a0"/>
    <w:rsid w:val="009C5A2B"/>
    <w:rPr>
      <w:color w:val="A0A0A0"/>
      <w:sz w:val="18"/>
      <w:szCs w:val="18"/>
    </w:rPr>
  </w:style>
  <w:style w:type="character" w:customStyle="1" w:styleId="userlinkmenu">
    <w:name w:val="userlink_menu"/>
    <w:basedOn w:val="a0"/>
    <w:rsid w:val="009C5A2B"/>
  </w:style>
  <w:style w:type="paragraph" w:styleId="z-">
    <w:name w:val="HTML Top of Form"/>
    <w:basedOn w:val="a"/>
    <w:next w:val="a"/>
    <w:link w:val="z-0"/>
    <w:hidden/>
    <w:uiPriority w:val="99"/>
    <w:semiHidden/>
    <w:unhideWhenUsed/>
    <w:rsid w:val="009C5A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C5A2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C5A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C5A2B"/>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17493">
      <w:bodyDiv w:val="1"/>
      <w:marLeft w:val="0"/>
      <w:marRight w:val="0"/>
      <w:marTop w:val="0"/>
      <w:marBottom w:val="0"/>
      <w:divBdr>
        <w:top w:val="none" w:sz="0" w:space="0" w:color="auto"/>
        <w:left w:val="none" w:sz="0" w:space="0" w:color="auto"/>
        <w:bottom w:val="none" w:sz="0" w:space="0" w:color="auto"/>
        <w:right w:val="none" w:sz="0" w:space="0" w:color="auto"/>
      </w:divBdr>
      <w:divsChild>
        <w:div w:id="1348143449">
          <w:marLeft w:val="0"/>
          <w:marRight w:val="15"/>
          <w:marTop w:val="0"/>
          <w:marBottom w:val="30"/>
          <w:divBdr>
            <w:top w:val="none" w:sz="0" w:space="0" w:color="auto"/>
            <w:left w:val="none" w:sz="0" w:space="0" w:color="auto"/>
            <w:bottom w:val="none" w:sz="0" w:space="0" w:color="auto"/>
            <w:right w:val="none" w:sz="0" w:space="0" w:color="auto"/>
          </w:divBdr>
        </w:div>
        <w:div w:id="327295543">
          <w:marLeft w:val="0"/>
          <w:marRight w:val="15"/>
          <w:marTop w:val="0"/>
          <w:marBottom w:val="30"/>
          <w:divBdr>
            <w:top w:val="none" w:sz="0" w:space="0" w:color="auto"/>
            <w:left w:val="none" w:sz="0" w:space="0" w:color="auto"/>
            <w:bottom w:val="none" w:sz="0" w:space="0" w:color="auto"/>
            <w:right w:val="none" w:sz="0" w:space="0" w:color="auto"/>
          </w:divBdr>
        </w:div>
        <w:div w:id="703100090">
          <w:marLeft w:val="0"/>
          <w:marRight w:val="15"/>
          <w:marTop w:val="0"/>
          <w:marBottom w:val="30"/>
          <w:divBdr>
            <w:top w:val="none" w:sz="0" w:space="0" w:color="auto"/>
            <w:left w:val="none" w:sz="0" w:space="0" w:color="auto"/>
            <w:bottom w:val="none" w:sz="0" w:space="0" w:color="auto"/>
            <w:right w:val="none" w:sz="0" w:space="0" w:color="auto"/>
          </w:divBdr>
        </w:div>
        <w:div w:id="665326516">
          <w:marLeft w:val="0"/>
          <w:marRight w:val="15"/>
          <w:marTop w:val="0"/>
          <w:marBottom w:val="30"/>
          <w:divBdr>
            <w:top w:val="none" w:sz="0" w:space="0" w:color="auto"/>
            <w:left w:val="none" w:sz="0" w:space="0" w:color="auto"/>
            <w:bottom w:val="none" w:sz="0" w:space="0" w:color="auto"/>
            <w:right w:val="none" w:sz="0" w:space="0" w:color="auto"/>
          </w:divBdr>
        </w:div>
        <w:div w:id="1776901899">
          <w:marLeft w:val="0"/>
          <w:marRight w:val="15"/>
          <w:marTop w:val="0"/>
          <w:marBottom w:val="30"/>
          <w:divBdr>
            <w:top w:val="none" w:sz="0" w:space="0" w:color="auto"/>
            <w:left w:val="none" w:sz="0" w:space="0" w:color="auto"/>
            <w:bottom w:val="none" w:sz="0" w:space="0" w:color="auto"/>
            <w:right w:val="none" w:sz="0" w:space="0" w:color="auto"/>
          </w:divBdr>
        </w:div>
        <w:div w:id="1077020704">
          <w:marLeft w:val="0"/>
          <w:marRight w:val="15"/>
          <w:marTop w:val="0"/>
          <w:marBottom w:val="30"/>
          <w:divBdr>
            <w:top w:val="none" w:sz="0" w:space="0" w:color="auto"/>
            <w:left w:val="none" w:sz="0" w:space="0" w:color="auto"/>
            <w:bottom w:val="none" w:sz="0" w:space="0" w:color="auto"/>
            <w:right w:val="none" w:sz="0" w:space="0" w:color="auto"/>
          </w:divBdr>
        </w:div>
        <w:div w:id="1833719071">
          <w:marLeft w:val="0"/>
          <w:marRight w:val="0"/>
          <w:marTop w:val="0"/>
          <w:marBottom w:val="0"/>
          <w:divBdr>
            <w:top w:val="none" w:sz="0" w:space="0" w:color="auto"/>
            <w:left w:val="none" w:sz="0" w:space="0" w:color="auto"/>
            <w:bottom w:val="none" w:sz="0" w:space="0" w:color="auto"/>
            <w:right w:val="none" w:sz="0" w:space="0" w:color="auto"/>
          </w:divBdr>
        </w:div>
        <w:div w:id="754744630">
          <w:marLeft w:val="0"/>
          <w:marRight w:val="0"/>
          <w:marTop w:val="0"/>
          <w:marBottom w:val="0"/>
          <w:divBdr>
            <w:top w:val="none" w:sz="0" w:space="0" w:color="auto"/>
            <w:left w:val="none" w:sz="0" w:space="0" w:color="auto"/>
            <w:bottom w:val="none" w:sz="0" w:space="0" w:color="auto"/>
            <w:right w:val="none" w:sz="0" w:space="0" w:color="auto"/>
          </w:divBdr>
        </w:div>
        <w:div w:id="806243199">
          <w:marLeft w:val="0"/>
          <w:marRight w:val="0"/>
          <w:marTop w:val="0"/>
          <w:marBottom w:val="0"/>
          <w:divBdr>
            <w:top w:val="none" w:sz="0" w:space="0" w:color="auto"/>
            <w:left w:val="none" w:sz="0" w:space="0" w:color="auto"/>
            <w:bottom w:val="none" w:sz="0" w:space="0" w:color="auto"/>
            <w:right w:val="none" w:sz="0" w:space="0" w:color="auto"/>
          </w:divBdr>
        </w:div>
        <w:div w:id="1887109210">
          <w:marLeft w:val="0"/>
          <w:marRight w:val="0"/>
          <w:marTop w:val="0"/>
          <w:marBottom w:val="0"/>
          <w:divBdr>
            <w:top w:val="none" w:sz="0" w:space="0" w:color="auto"/>
            <w:left w:val="none" w:sz="0" w:space="0" w:color="auto"/>
            <w:bottom w:val="none" w:sz="0" w:space="0" w:color="auto"/>
            <w:right w:val="none" w:sz="0" w:space="0" w:color="auto"/>
          </w:divBdr>
        </w:div>
        <w:div w:id="169220533">
          <w:marLeft w:val="0"/>
          <w:marRight w:val="0"/>
          <w:marTop w:val="0"/>
          <w:marBottom w:val="0"/>
          <w:divBdr>
            <w:top w:val="none" w:sz="0" w:space="0" w:color="auto"/>
            <w:left w:val="none" w:sz="0" w:space="0" w:color="auto"/>
            <w:bottom w:val="none" w:sz="0" w:space="0" w:color="auto"/>
            <w:right w:val="none" w:sz="0" w:space="0" w:color="auto"/>
          </w:divBdr>
        </w:div>
        <w:div w:id="128654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amp;subject=%D0%92%D0%BE%D0%BF%D1%80%D0%BE%D1%81+%D0%BF%D0%BE+%D0%BA%D0%BE%D0%BD%D0%BA%D1%83%D1%80%D1%81%D1%83+%E2%84%96+36299" TargetMode="External"/><Relationship Id="rId3" Type="http://schemas.openxmlformats.org/officeDocument/2006/relationships/settings" Target="settings.xml"/><Relationship Id="rId7" Type="http://schemas.openxmlformats.org/officeDocument/2006/relationships/hyperlink" Target="http://www.b2b-mrsk.ru/market/list_tenders.html?all=0&amp;cat_id=64560531&amp;open=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2b-mrsk.ru/market/list_tenders.html?all=0&amp;cat_id=64521123&amp;open=1" TargetMode="External"/><Relationship Id="rId11" Type="http://schemas.openxmlformats.org/officeDocument/2006/relationships/fontTable" Target="fontTable.xml"/><Relationship Id="rId5" Type="http://schemas.openxmlformats.org/officeDocument/2006/relationships/hyperlink" Target="http://www.b2b-mrsk.ru/firms/view_firm.html?id=102341" TargetMode="External"/><Relationship Id="rId10" Type="http://schemas.openxmlformats.org/officeDocument/2006/relationships/hyperlink" Target="http://www.b2b-mrsk.ru/market/view_tender.html?id=36299&amp;action=signed_doc&amp;key=tender" TargetMode="External"/><Relationship Id="rId4" Type="http://schemas.openxmlformats.org/officeDocument/2006/relationships/webSettings" Target="webSettings.xml"/><Relationship Id="rId9" Type="http://schemas.openxmlformats.org/officeDocument/2006/relationships/hyperlink" Target="mailto:YakovlenkoYV@nues.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2063</Words>
  <Characters>11765</Characters>
  <Application>Microsoft Office Word</Application>
  <DocSecurity>0</DocSecurity>
  <Lines>98</Lines>
  <Paragraphs>27</Paragraphs>
  <ScaleCrop>false</ScaleCrop>
  <Company/>
  <LinksUpToDate>false</LinksUpToDate>
  <CharactersWithSpaces>13801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2013-07-12T07:13:00Z</dcterms:created>
  <dcterms:modified xsi:type="dcterms:W3CDTF">2013-07-12T07:16:00Z</dcterms:modified>
</cp:coreProperties>
</file>