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43" w:rsidRPr="00685243" w:rsidRDefault="00685243" w:rsidP="00685243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8524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1037167</w:t>
      </w:r>
    </w:p>
    <w:p w:rsidR="00685243" w:rsidRPr="00685243" w:rsidRDefault="00685243" w:rsidP="00685243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8524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поставки вездеходной техники для нужд филиалов АО «</w:t>
      </w:r>
      <w:proofErr w:type="spellStart"/>
      <w:r w:rsidRPr="0068524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68524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».</w:t>
      </w:r>
    </w:p>
    <w:p w:rsidR="00685243" w:rsidRPr="00685243" w:rsidRDefault="00685243" w:rsidP="006852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52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03.07.2018 в 12:00 по московскому времени</w:t>
      </w:r>
      <w:r w:rsidRPr="00685243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 </w:t>
      </w:r>
      <w:r w:rsidRPr="0068524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68524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685243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8524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6852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85243" w:rsidRPr="00685243" w:rsidRDefault="00685243" w:rsidP="0068524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5243" w:rsidRPr="00685243" w:rsidTr="0068524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85243" w:rsidRPr="0068524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5243" w:rsidRPr="00685243" w:rsidRDefault="00685243" w:rsidP="0068524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вездеходной техники для нужд филиалов АО «</w:t>
                  </w:r>
                  <w:proofErr w:type="spellStart"/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вездеходной техники для нужд филиалов АО "</w:t>
                  </w:r>
                  <w:proofErr w:type="spellStart"/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</w:t>
                  </w:r>
                  <w:proofErr w:type="spellEnd"/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685243" w:rsidRPr="00685243" w:rsidRDefault="00685243" w:rsidP="0068524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вездеходной техники для нужд филиалов АО «</w:t>
                  </w:r>
                  <w:proofErr w:type="spellStart"/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вездеходной техники для нужд филиалов АО "</w:t>
                  </w:r>
                  <w:proofErr w:type="spellStart"/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".</w:t>
                  </w:r>
                  <w:r w:rsidRPr="00685243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685243" w:rsidRPr="0068524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68524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Поставка вездеходной техники для нужд филиалов АО "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". 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18 599 566,64 руб.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13.06.2018 11:44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03.07.2018 12:00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01.01.2019 - 01.09.2019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13.06.2018 11:44, </w:t>
                        </w:r>
                        <w:hyperlink r:id="rId6" w:tgtFrame="_blank" w:tooltip="Отправить личное сообщение" w:history="1">
                          <w:r w:rsidRPr="0068524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8524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68524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8524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8524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68524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Mezhenina-NM@te.ru</w:t>
                          </w:r>
                        </w:hyperlink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85243" w:rsidRPr="0068524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5243" w:rsidRPr="00685243" w:rsidRDefault="00685243" w:rsidP="0068524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85243" w:rsidRPr="0068524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8524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Участник, предложивший эквивалентный товар, должен в составе заявки в техническом предложении предоставить подробное описание характеристик предлагаемого эквивалентного товара по форме таблицы «Требования к комплектации транспортного средства» п. 2 технического задания (приложение № 1 к конкурсной документации).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Отсутствие в составе заявки участника подробного 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описания характеристик предлагаемого к поставке эквивалента является основанием отклонения заявки такого участника.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закупочной процедуры должен иметь полномочия от производителей на предложение товара в рамках закупочной процедуры, необходимые для исполнения договора (свидетельство официального дилера производителя, прямой партнерский договор с производителем), подтверждающие право поставки и предоставления гарантии на предлагаемую продукцию в рамках данной закупочной процедуры или быть производителем предлагаемой продукции.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«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», вынесенных в течение 12 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(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68524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852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КД_вездеход_.zip</w:t>
                          </w:r>
                        </w:hyperlink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(9.2 МБ)</w:t>
                        </w:r>
                      </w:p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6852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заключается с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23.07.2018 12:00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02.08.2018 12:00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85243" w:rsidRPr="006852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8524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5243" w:rsidRPr="00685243" w:rsidRDefault="00685243" w:rsidP="00685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68524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85243" w:rsidRPr="00685243" w:rsidRDefault="00685243" w:rsidP="0068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85243" w:rsidRPr="00685243" w:rsidTr="00685243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685243" w:rsidRPr="00685243" w:rsidRDefault="00685243" w:rsidP="00685243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852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Поставка вездеходной техники для нужд филиалов АО "</w:t>
            </w:r>
            <w:proofErr w:type="spellStart"/>
            <w:r w:rsidRPr="006852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68524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". </w:t>
            </w:r>
          </w:p>
        </w:tc>
      </w:tr>
      <w:tr w:rsidR="00685243" w:rsidRPr="00685243" w:rsidTr="00685243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685243" w:rsidRPr="0068524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2928271 </w:t>
                  </w:r>
                  <w:hyperlink r:id="rId14" w:history="1">
                    <w:r w:rsidRPr="00685243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Тяжеловозы на гусеничном ходу</w:t>
                    </w:r>
                  </w:hyperlink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2928272 </w:t>
                  </w:r>
                  <w:hyperlink r:id="rId15" w:history="1">
                    <w:r w:rsidRPr="00685243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Тележки на гусеничном ходу</w:t>
                    </w:r>
                  </w:hyperlink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2928273 </w:t>
                  </w:r>
                  <w:hyperlink r:id="rId16" w:history="1">
                    <w:r w:rsidRPr="00685243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Транспортные средства на воздушной подушке</w:t>
                    </w:r>
                  </w:hyperlink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2928275 </w:t>
                  </w:r>
                  <w:hyperlink r:id="rId17" w:history="1">
                    <w:r w:rsidRPr="00685243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Платформы передвижные</w:t>
                    </w:r>
                  </w:hyperlink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3322428 </w:t>
                  </w:r>
                  <w:proofErr w:type="spellStart"/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instrText xml:space="preserve"> HYPERLINK "http://www.b2b-mrsk.ru/market/list.html?all=0&amp;bookmarks=0&amp;cat_id=43322428&amp;type=20" </w:instrTex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685243">
                    <w:rPr>
                      <w:rStyle w:val="a3"/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Спецавтотранспорт</w:t>
                  </w:r>
                  <w:proofErr w:type="spellEnd"/>
                  <w:r w:rsidRPr="00685243">
                    <w:rPr>
                      <w:rStyle w:val="a3"/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для киностудий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t>2928271 </w:t>
                  </w:r>
                  <w:hyperlink r:id="rId18" w:history="1">
                    <w:r w:rsidRPr="0068524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Тяжеловозы на гусеничном ходу</w:t>
                    </w:r>
                  </w:hyperlink>
                  <w:r w:rsidRPr="0068524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2928272 </w:t>
                  </w:r>
                  <w:hyperlink r:id="rId19" w:history="1">
                    <w:r w:rsidRPr="0068524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Тележки на гусеничном ходу</w:t>
                    </w:r>
                  </w:hyperlink>
                  <w:r w:rsidRPr="0068524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2928273 </w:t>
                  </w:r>
                  <w:hyperlink r:id="rId20" w:history="1">
                    <w:r w:rsidRPr="0068524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Транспортные средства на воздушной подушке</w:t>
                    </w:r>
                  </w:hyperlink>
                  <w:r w:rsidRPr="0068524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2928275 </w:t>
                  </w:r>
                  <w:hyperlink r:id="rId21" w:history="1">
                    <w:r w:rsidRPr="0068524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Платформы передвижные</w:t>
                    </w:r>
                  </w:hyperlink>
                  <w:r w:rsidRPr="0068524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3322428 </w:t>
                  </w:r>
                  <w:hyperlink r:id="rId22" w:history="1">
                    <w:r w:rsidRPr="0068524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Спецавтотранспорт для киностудий</w:t>
                    </w:r>
                  </w:hyperlink>
                  <w:r w:rsidRPr="0068524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3410341 </w:t>
                  </w:r>
                  <w:hyperlink r:id="rId23" w:history="1">
                    <w:r w:rsidRPr="0068524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общего пользования (для промтоваров)</w:t>
                    </w:r>
                  </w:hyperlink>
                  <w:r w:rsidRPr="0068524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3410345 </w:t>
                  </w:r>
                  <w:hyperlink r:id="rId24" w:history="1">
                    <w:r w:rsidRPr="0068524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для перевозки почты</w:t>
                    </w:r>
                  </w:hyperlink>
                  <w:r w:rsidRPr="0068524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3410346 </w:t>
                  </w:r>
                  <w:hyperlink r:id="rId25" w:history="1">
                    <w:r w:rsidRPr="0068524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медицинской службы и для перевозки медикаментов</w:t>
                    </w:r>
                  </w:hyperlink>
                  <w:r w:rsidRPr="0068524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3410349 </w:t>
                  </w:r>
                  <w:hyperlink r:id="rId26" w:history="1">
                    <w:r w:rsidRPr="0068524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для перевозки прочих грузов</w:t>
                    </w:r>
                  </w:hyperlink>
                  <w:r w:rsidRPr="0068524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br/>
                    <w:t>3410351 </w:t>
                  </w:r>
                  <w:hyperlink r:id="rId27" w:history="1">
                    <w:r w:rsidRPr="00685243">
                      <w:rPr>
                        <w:rStyle w:val="a3"/>
                        <w:rFonts w:ascii="Arial" w:eastAsia="Times New Roman" w:hAnsi="Arial" w:cs="Arial"/>
                        <w:vanish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Автомобили-фургоны ветеринарной службы</w:t>
                    </w:r>
                  </w:hyperlink>
                </w:p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Показать все (ещё 5) </w:t>
                  </w:r>
                  <w:r w:rsidRPr="00685243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0"/>
                      <w:lang w:eastAsia="ru-RU"/>
                    </w:rPr>
                    <w:t xml:space="preserve">Скрыть 5 категорий </w:t>
                  </w:r>
                </w:p>
              </w:tc>
            </w:tr>
            <w:tr w:rsidR="00685243" w:rsidRPr="0068524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29.10.59.390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Средства автотранспортные специального назначения прочие, не включенные в другие группировки</w:t>
                  </w:r>
                </w:p>
              </w:tc>
            </w:tr>
            <w:tr w:rsidR="00685243" w:rsidRPr="0068524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29.10.5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Производство автомобилей специального назначения</w:t>
                  </w:r>
                </w:p>
              </w:tc>
            </w:tr>
            <w:tr w:rsidR="00685243" w:rsidRPr="0068524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8" w:history="1">
                    <w:r w:rsidRPr="00685243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Заявка № 9837078</w:t>
                    </w:r>
                  </w:hyperlink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Строка № 603 плана закупок на 2018 год</w:t>
                  </w:r>
                </w:p>
              </w:tc>
            </w:tr>
            <w:tr w:rsidR="00685243" w:rsidRPr="0068524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определено</w:t>
                  </w:r>
                </w:p>
              </w:tc>
            </w:tr>
            <w:tr w:rsidR="00685243" w:rsidRPr="0068524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18 599 566,64 руб. (цена с НДС)</w:t>
                  </w:r>
                </w:p>
              </w:tc>
            </w:tr>
            <w:tr w:rsidR="00685243" w:rsidRPr="0068524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29" w:history="1">
                    <w:r w:rsidRPr="00685243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685243" w:rsidRPr="0068524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Требуется обеспечение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в форме безотзывной безусловной банковской гарантии.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обеспечения заявки на участие в закупке.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Размер обеспечения: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заявки на участие в закупке в размере 2 % начальной цены лота (с учетом налогов).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</w:r>
                </w:p>
              </w:tc>
            </w:tr>
            <w:tr w:rsidR="00685243" w:rsidRPr="0068524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Форма обеспечение обязательств по договору: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Размер обеспечения: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исполнения договора установлено в размере: 2% от суммы договора с учетом налогов по каждому филиалу.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685243" w:rsidRPr="00685243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- 628403, Тюменская обл., Ханты-Мансийский автономный округ-Югра, г. Сургут, ул. 30 лет Победы, 30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- 628486, Тюменская обл., Ханты-Мансийский автономный округ-Югра, г. Когалым, пр. Нефтяников, 5 </w:t>
                  </w: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/>
                  </w:r>
                </w:p>
              </w:tc>
            </w:tr>
            <w:tr w:rsidR="00685243" w:rsidRPr="00685243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85243" w:rsidRPr="00685243" w:rsidRDefault="00685243" w:rsidP="00685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8524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</w:tbl>
          <w:p w:rsidR="00685243" w:rsidRPr="00685243" w:rsidRDefault="00685243" w:rsidP="0068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36645" w:rsidRDefault="00B36645">
      <w:bookmarkStart w:id="0" w:name="_GoBack"/>
      <w:bookmarkEnd w:id="0"/>
    </w:p>
    <w:sectPr w:rsidR="00B3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172795D"/>
    <w:multiLevelType w:val="multilevel"/>
    <w:tmpl w:val="7E18F3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5A"/>
    <w:rsid w:val="003C005A"/>
    <w:rsid w:val="00685243"/>
    <w:rsid w:val="00B3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AA97D-3785-425F-B8BB-BA1DCC98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243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243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unhideWhenUsed/>
    <w:rsid w:val="0068524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8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68524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85243"/>
  </w:style>
  <w:style w:type="character" w:customStyle="1" w:styleId="ellipsis2">
    <w:name w:val="ellipsis2"/>
    <w:basedOn w:val="a0"/>
    <w:rsid w:val="00685243"/>
  </w:style>
  <w:style w:type="character" w:customStyle="1" w:styleId="a-more">
    <w:name w:val="a-more"/>
    <w:basedOn w:val="a0"/>
    <w:rsid w:val="00685243"/>
  </w:style>
  <w:style w:type="character" w:customStyle="1" w:styleId="a-less">
    <w:name w:val="a-less"/>
    <w:basedOn w:val="a0"/>
    <w:rsid w:val="00685243"/>
  </w:style>
  <w:style w:type="character" w:customStyle="1" w:styleId="userlinkmenu">
    <w:name w:val="userlink_menu"/>
    <w:basedOn w:val="a0"/>
    <w:rsid w:val="00685243"/>
  </w:style>
  <w:style w:type="character" w:customStyle="1" w:styleId="floathint-marker1">
    <w:name w:val="floathint-marker1"/>
    <w:basedOn w:val="a0"/>
    <w:rsid w:val="0068524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982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9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1037167&amp;action=signed_doc&amp;key=auction" TargetMode="External"/><Relationship Id="rId18" Type="http://schemas.openxmlformats.org/officeDocument/2006/relationships/hyperlink" Target="http://www.b2b-mrsk.ru/market/list.html?all=0&amp;bookmarks=0&amp;cat_id=42928271&amp;type=20" TargetMode="External"/><Relationship Id="rId26" Type="http://schemas.openxmlformats.org/officeDocument/2006/relationships/hyperlink" Target="http://www.b2b-mrsk.ru/market/list.html?all=0&amp;bookmarks=0&amp;cat_id=43410349&amp;type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all=0&amp;bookmarks=0&amp;cat_id=42928275&amp;type=20" TargetMode="Externa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1037167&amp;action=docs" TargetMode="External"/><Relationship Id="rId17" Type="http://schemas.openxmlformats.org/officeDocument/2006/relationships/hyperlink" Target="http://www.b2b-mrsk.ru/market/list.html?all=0&amp;bookmarks=0&amp;cat_id=42928275&amp;type=20" TargetMode="External"/><Relationship Id="rId25" Type="http://schemas.openxmlformats.org/officeDocument/2006/relationships/hyperlink" Target="http://www.b2b-mrsk.ru/market/list.html?all=0&amp;bookmarks=0&amp;cat_id=43410346&amp;type=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2928273&amp;type=20" TargetMode="External"/><Relationship Id="rId20" Type="http://schemas.openxmlformats.org/officeDocument/2006/relationships/hyperlink" Target="http://www.b2b-mrsk.ru/market/list.html?all=0&amp;bookmarks=0&amp;cat_id=42928273&amp;type=20" TargetMode="External"/><Relationship Id="rId29" Type="http://schemas.openxmlformats.org/officeDocument/2006/relationships/hyperlink" Target="http://www.b2b-mrsk.ru/market/view.html?id=1037171&amp;switch_price_both_view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9823868.zip&amp;title=%D0%9A%D0%94_%D0%B2%D0%B5%D0%B7%D0%B4%D0%B5%D1%85%D0%BE%D0%B4_.zip" TargetMode="External"/><Relationship Id="rId24" Type="http://schemas.openxmlformats.org/officeDocument/2006/relationships/hyperlink" Target="http://www.b2b-mrsk.ru/market/list.html?all=0&amp;bookmarks=0&amp;cat_id=43410345&amp;type=20" TargetMode="External"/><Relationship Id="rId5" Type="http://schemas.openxmlformats.org/officeDocument/2006/relationships/hyperlink" Target="http://www.b2b-mrsk.ru/market/view.html?id=1037171" TargetMode="External"/><Relationship Id="rId15" Type="http://schemas.openxmlformats.org/officeDocument/2006/relationships/hyperlink" Target="http://www.b2b-mrsk.ru/market/list.html?all=0&amp;bookmarks=0&amp;cat_id=42928272&amp;type=20" TargetMode="External"/><Relationship Id="rId23" Type="http://schemas.openxmlformats.org/officeDocument/2006/relationships/hyperlink" Target="http://www.b2b-mrsk.ru/market/list.html?all=0&amp;bookmarks=0&amp;cat_id=43410341&amp;type=20" TargetMode="External"/><Relationship Id="rId28" Type="http://schemas.openxmlformats.org/officeDocument/2006/relationships/hyperlink" Target="http://www.b2b-mrsk.ru/personal/view_gkpz.html?id=9837078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b2b-mrsk.ru/market/list.html?all=0&amp;bookmarks=0&amp;cat_id=42928272&amp;type=2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ezhenina-NM%40te.ru" TargetMode="External"/><Relationship Id="rId14" Type="http://schemas.openxmlformats.org/officeDocument/2006/relationships/hyperlink" Target="http://www.b2b-mrsk.ru/market/list.html?all=0&amp;bookmarks=0&amp;cat_id=42928271&amp;type=20" TargetMode="External"/><Relationship Id="rId22" Type="http://schemas.openxmlformats.org/officeDocument/2006/relationships/hyperlink" Target="http://www.b2b-mrsk.ru/market/list.html?all=0&amp;bookmarks=0&amp;cat_id=43322428&amp;type=20" TargetMode="External"/><Relationship Id="rId27" Type="http://schemas.openxmlformats.org/officeDocument/2006/relationships/hyperlink" Target="http://www.b2b-mrsk.ru/market/list.html?all=0&amp;bookmarks=0&amp;cat_id=43410351&amp;type=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2469</Words>
  <Characters>14078</Characters>
  <Application>Microsoft Office Word</Application>
  <DocSecurity>0</DocSecurity>
  <Lines>117</Lines>
  <Paragraphs>33</Paragraphs>
  <ScaleCrop>false</ScaleCrop>
  <Company>te</Company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2018-06-13T09:43:00Z</dcterms:created>
  <dcterms:modified xsi:type="dcterms:W3CDTF">2018-06-13T09:44:00Z</dcterms:modified>
</cp:coreProperties>
</file>