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7" w:rsidRDefault="00196987" w:rsidP="00196987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>Конкурс (тендер) № 37218 </w:t>
      </w:r>
      <w:r>
        <w:rPr>
          <w:rStyle w:val="bg1"/>
          <w:sz w:val="20"/>
          <w:szCs w:val="20"/>
        </w:rPr>
        <w:t>(вскрытие конвертов 13.11.2013 в 07:00)</w:t>
      </w:r>
    </w:p>
    <w:tbl>
      <w:tblPr>
        <w:tblW w:w="5095" w:type="pct"/>
        <w:tblCellSpacing w:w="0" w:type="dxa"/>
        <w:tblInd w:w="-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196987" w:rsidTr="00196987">
        <w:trPr>
          <w:tblCellSpacing w:w="0" w:type="dxa"/>
        </w:trPr>
        <w:tc>
          <w:tcPr>
            <w:tcW w:w="0" w:type="auto"/>
            <w:hideMark/>
          </w:tcPr>
          <w:p w:rsidR="00196987" w:rsidRDefault="00196987" w:rsidP="00196987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196987" w:rsidRDefault="00196987" w:rsidP="0019698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196987" w:rsidRDefault="00196987" w:rsidP="0019698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96987" w:rsidRDefault="00196987" w:rsidP="0019698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96987" w:rsidRDefault="00196987" w:rsidP="0019698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96987" w:rsidRDefault="00196987" w:rsidP="0019698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  <w:tr w:rsidR="00196987" w:rsidTr="00196987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987" w:rsidRDefault="00196987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Открытое акционерное общество энергетики и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электрофикации</w:t>
              </w:r>
              <w:proofErr w:type="spell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 "Тюменьэнерго" филиал Нефтеюганские электрические сети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628303, Ханты-Мансийский Автономный округ - Югра, Тюменская обл., г. Нефтеюганск, ул. Мира, д. 15,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196987" w:rsidTr="00196987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7172"/>
            </w:tblGrid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реконструкции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Пыть-Ях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Парус, ВЛ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Ленинская - Островная отпайка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Асомкинская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ВЛ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Кратер - Средний Балык с установкой дополнительных опор для нужд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Открытый одноэтапный конкурс без предварительного отбора на право заключения Договора на выполнение строительно-монтажных работ по реконструкции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Пыть-Ях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Парус, ВЛ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Ленинская - Островная отпайка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Асомкинская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ВЛ 110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Кратер - Средний Балык с установкой дополнительных опор для нужд филиала ОАО «Тюменьэнерго» Нефтеюганские электрические сети (филиал ОАО «Тюменьэнерго» Нефтеюганские электрические сети (628303, г. Нефтеюганск Тюменская обл., ХМАО-Югра, ул. Мира,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15))</w:t>
                  </w:r>
                  <w:proofErr w:type="gramEnd"/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4521101 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Электростанция государственная районная</w:t>
                    </w:r>
                  </w:hyperlink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 w:rsidP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23.10.2013 07:41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20.01.2014 - 15.12.2014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(3463) 25-33-10, 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YakovlenkoYV@nues.te.ru</w:t>
                    </w:r>
                  </w:hyperlink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приказом ОАО "Тюменьэнерго"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Предлагаемые Участником материалы (опоры, провод, грозозащитный трос, арматура, прокат стальной) в рамках закупочной процедуры должны иметь аттестацию в ОАО «ФСК ЕЭС»,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материалов указан на сайте www.fsk-ees.ru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обладать необходимыми кадровыми ресурсами – не менее 28 чел.: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рабочие – не менее 3 чел.,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электромонтер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ремонту воздушных – не менее 12 чел.,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электрогазосварщик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4-5 разряда – не менее 6 чел.,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геодезист – не менее 1 чел.,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ИТР – не менее 6 чел.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Дизель-генератор мощностью – не менее 100 кВт.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Дизель-генератор мощностью до 50 кВт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е менее1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Вагон-дома 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Бульдозер Т-130 (или аналог)– не менее 2шт.,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Сваебойный агрегат СП-49 (или аналог) 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Кран автомобильный груз КС-45717-1 (или аналог)– не менее 2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Камаз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44108-10 (или аналог)– не менее 2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Урал 44202 (или аналог)–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Полуприцеп ЧМЗАП 93853 (или аналог) 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Полуприцеп ОДАЗ 9385 (или аналог) 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Полуприцеп НЕФАЗ9334 (или аналог)– не менее 1 шт.,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Электросварочный агрегат АДД 4004М (или аналог)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-н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е менее 3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Требования к благонадежности Участника (В отношении Участника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Результат проверки благонадежности Участника закупки оформляется заключением СЭБ ОАО «Тюменьэнерго» и оспариванию не подлежит):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»Тюменьэнерго».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21 июля 2005 года N 94-ФЗ «О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муниципальных нужд»;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Участник не должен быть аффилирован к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л) Отсутствие у ОАО «Тюменьэнерго» информации об отрицательном опыте исполнения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о)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 w:rsidP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кд.rar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(26.9 Мб)</w:t>
                  </w:r>
                </w:p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96987" w:rsidRDefault="00196987" w:rsidP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196987" w:rsidRDefault="00196987" w:rsidP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Задаток должен быть зачислен на расчетный счет Заказчика, до момента окончания срока подачи конкурсных заявок, в противном случае задаток считается не внесенным. Факт внесения Участником задатка в качестве обеспечения участия в процедуре открытого конкурса подтверждается платежным поручением (квитанцией в случае наличной формы оплаты) с отметкой банка об оплате.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Обеспечение обязательств по договору осуществляется двумя способами.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Непредоставление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Победителем безотзывной безусловной банковской гарантии,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конкурса в установленном настоящей Конкурсной документацией порядке, а так же является основанием внесения Победителя в реестр недобросовестных поставщиков, в порядке, установленном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чем на 6 (шесть) календарных месяцев;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участвовать в системе страхования вкладов;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13.11.2013 в 07:00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03.12.2013 12:00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13.12.2013 12:00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34 632 300,02 руб. (цена с НДС)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 w:rsidP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23.10.2013 07:40, </w:t>
                  </w:r>
                  <w:hyperlink r:id="rId18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</w:p>
              </w:tc>
            </w:tr>
            <w:tr w:rsidR="001969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87" w:rsidRDefault="001969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196987" w:rsidRDefault="001969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196987" w:rsidRDefault="001969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96987" w:rsidRDefault="00196987" w:rsidP="00196987">
      <w:pPr>
        <w:spacing w:after="0" w:line="240" w:lineRule="auto"/>
      </w:pPr>
      <w:bookmarkStart w:id="0" w:name="_GoBack"/>
      <w:bookmarkEnd w:id="0"/>
    </w:p>
    <w:sectPr w:rsidR="00196987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CF"/>
    <w:rsid w:val="00196987"/>
    <w:rsid w:val="002E6321"/>
    <w:rsid w:val="00444683"/>
    <w:rsid w:val="004940CF"/>
    <w:rsid w:val="004A1B11"/>
    <w:rsid w:val="00C62AEE"/>
    <w:rsid w:val="00CB1191"/>
    <w:rsid w:val="00F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B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B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A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A1B11"/>
    <w:rPr>
      <w:color w:val="A0A0A0"/>
      <w:sz w:val="18"/>
      <w:szCs w:val="18"/>
    </w:rPr>
  </w:style>
  <w:style w:type="character" w:customStyle="1" w:styleId="imp1">
    <w:name w:val="imp1"/>
    <w:basedOn w:val="a0"/>
    <w:rsid w:val="004A1B11"/>
    <w:rPr>
      <w:color w:val="FF0000"/>
    </w:rPr>
  </w:style>
  <w:style w:type="character" w:customStyle="1" w:styleId="userlinkmenu">
    <w:name w:val="userlink_menu"/>
    <w:basedOn w:val="a0"/>
    <w:rsid w:val="004A1B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A1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A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F2"/>
    <w:rPr>
      <w:rFonts w:ascii="Tahoma" w:hAnsi="Tahoma" w:cs="Tahoma"/>
      <w:sz w:val="16"/>
      <w:szCs w:val="16"/>
    </w:rPr>
  </w:style>
  <w:style w:type="paragraph" w:customStyle="1" w:styleId="gray-text">
    <w:name w:val="gray-text"/>
    <w:basedOn w:val="a"/>
    <w:rsid w:val="0019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B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B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A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A1B11"/>
    <w:rPr>
      <w:color w:val="A0A0A0"/>
      <w:sz w:val="18"/>
      <w:szCs w:val="18"/>
    </w:rPr>
  </w:style>
  <w:style w:type="character" w:customStyle="1" w:styleId="imp1">
    <w:name w:val="imp1"/>
    <w:basedOn w:val="a0"/>
    <w:rsid w:val="004A1B11"/>
    <w:rPr>
      <w:color w:val="FF0000"/>
    </w:rPr>
  </w:style>
  <w:style w:type="character" w:customStyle="1" w:styleId="userlinkmenu">
    <w:name w:val="userlink_menu"/>
    <w:basedOn w:val="a0"/>
    <w:rsid w:val="004A1B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A1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A1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F2"/>
    <w:rPr>
      <w:rFonts w:ascii="Tahoma" w:hAnsi="Tahoma" w:cs="Tahoma"/>
      <w:sz w:val="16"/>
      <w:szCs w:val="16"/>
    </w:rPr>
  </w:style>
  <w:style w:type="paragraph" w:customStyle="1" w:styleId="gray-text">
    <w:name w:val="gray-text"/>
    <w:basedOn w:val="a"/>
    <w:rsid w:val="0019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4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218&amp;action=send_letters" TargetMode="External"/><Relationship Id="rId13" Type="http://schemas.openxmlformats.org/officeDocument/2006/relationships/hyperlink" Target="mailto:YakovlenkoYV@nues.te.ru" TargetMode="External"/><Relationship Id="rId1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7218&amp;action=invitations" TargetMode="External"/><Relationship Id="rId12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7218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7218&amp;action=signed_doc&amp;key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18&amp;action=explanation" TargetMode="External"/><Relationship Id="rId11" Type="http://schemas.openxmlformats.org/officeDocument/2006/relationships/hyperlink" Target="http://www.b2b-mrsk.ru/market/list_tenders.html?all=0&amp;cat_id=64521101&amp;open=1" TargetMode="External"/><Relationship Id="rId5" Type="http://schemas.openxmlformats.org/officeDocument/2006/relationships/hyperlink" Target="http://www.b2b-mrsk.ru/market/view_tender.html?id=37218&amp;show=lots" TargetMode="External"/><Relationship Id="rId15" Type="http://schemas.openxmlformats.org/officeDocument/2006/relationships/hyperlink" Target="http://www.b2b-mrsk.ru/market/edit_tender.html?id=37218&amp;action=docs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_tender.html?id=37218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218&amp;show=statistics" TargetMode="External"/><Relationship Id="rId14" Type="http://schemas.openxmlformats.org/officeDocument/2006/relationships/hyperlink" Target="http://www.b2b-mrsk.ru/download.html?file=file%2F6188843.rar&amp;title=%D0%BA%D0%B4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2457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Беккер Лариса Викторовна</cp:lastModifiedBy>
  <cp:revision>6</cp:revision>
  <cp:lastPrinted>2013-10-15T03:35:00Z</cp:lastPrinted>
  <dcterms:created xsi:type="dcterms:W3CDTF">2013-10-07T10:21:00Z</dcterms:created>
  <dcterms:modified xsi:type="dcterms:W3CDTF">2013-10-23T03:44:00Z</dcterms:modified>
</cp:coreProperties>
</file>