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64" w:rsidRPr="00553964" w:rsidRDefault="00553964" w:rsidP="00553964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553964">
        <w:rPr>
          <w:rFonts w:ascii="Arial" w:hAnsi="Arial" w:cs="Arial"/>
          <w:color w:val="333333"/>
          <w:kern w:val="36"/>
          <w:sz w:val="27"/>
          <w:szCs w:val="27"/>
        </w:rPr>
        <w:t>Конкурс (тендер) № 40903 </w:t>
      </w:r>
      <w:r w:rsidRPr="00553964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15.07.2014 в 08:00)</w:t>
      </w:r>
    </w:p>
    <w:p w:rsidR="00553964" w:rsidRPr="00553964" w:rsidRDefault="00553964" w:rsidP="0055396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3964" w:rsidRPr="00553964" w:rsidTr="0055396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53964" w:rsidRPr="00553964" w:rsidRDefault="00553964" w:rsidP="00553964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53964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553964" w:rsidRPr="00553964" w:rsidRDefault="00553964" w:rsidP="005539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5539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553964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553964" w:rsidRPr="00553964" w:rsidRDefault="00553964" w:rsidP="005539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5539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5539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53964" w:rsidRPr="00553964" w:rsidRDefault="00553964" w:rsidP="005539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5539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539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53964" w:rsidRPr="00553964" w:rsidRDefault="00553964" w:rsidP="005539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5539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5539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53964" w:rsidRPr="00553964" w:rsidRDefault="00553964" w:rsidP="005539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5539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53964" w:rsidRPr="00553964" w:rsidRDefault="00553964" w:rsidP="00553964"/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553964" w:rsidRPr="00553964" w:rsidTr="0055396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3964" w:rsidRPr="00553964" w:rsidRDefault="00553964" w:rsidP="00553964">
            <w:pPr>
              <w:shd w:val="clear" w:color="auto" w:fill="C2C9CD"/>
              <w:spacing w:line="216" w:lineRule="atLeast"/>
              <w:outlineLvl w:val="1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553964">
                <w:rPr>
                  <w:rFonts w:ascii="Arial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553964">
                <w:rPr>
                  <w:rFonts w:ascii="Arial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Тюменьэнерго</w:t>
              </w:r>
              <w:proofErr w:type="spellEnd"/>
              <w:r w:rsidRPr="00553964">
                <w:rPr>
                  <w:rFonts w:ascii="Arial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 xml:space="preserve">" </w:t>
              </w:r>
              <w:proofErr w:type="spellStart"/>
              <w:r w:rsidRPr="00553964">
                <w:rPr>
                  <w:rFonts w:ascii="Arial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Нижневартовские</w:t>
              </w:r>
              <w:proofErr w:type="spellEnd"/>
              <w:r w:rsidRPr="00553964">
                <w:rPr>
                  <w:rFonts w:ascii="Arial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 xml:space="preserve"> электрические сети</w:t>
              </w:r>
            </w:hyperlink>
            <w:r w:rsidRPr="00553964">
              <w:rPr>
                <w:rFonts w:ascii="Arial" w:hAnsi="Arial" w:cs="Arial"/>
                <w:color w:val="333333"/>
                <w:sz w:val="18"/>
                <w:szCs w:val="18"/>
              </w:rPr>
              <w:t>, 628617, Ханты-Мансийский Автономный округ - Югра, Тюменская область, г. Нижневартовск, ул. Пермская, 22, </w:t>
            </w:r>
            <w:r w:rsidRPr="00553964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 w:rsidRPr="00553964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553964" w:rsidRPr="00553964" w:rsidTr="0055396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7445"/>
            </w:tblGrid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Открытый одноэтапный конкурс без предварительного отбора на право заключения договора на выполнение работ по модернизации системы сбора и просмотра аварийной информации от разнородных распределенных источников на подстанциях филиала ОАО «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 xml:space="preserve">» </w:t>
                  </w:r>
                  <w:proofErr w:type="spellStart"/>
                  <w:r w:rsidRPr="00553964">
                    <w:t>Нижневартовские</w:t>
                  </w:r>
                  <w:proofErr w:type="spellEnd"/>
                  <w:r w:rsidRPr="00553964">
                    <w:t xml:space="preserve"> электрические сети</w:t>
                  </w:r>
                  <w:r w:rsidRPr="00553964">
                    <w:br/>
                  </w:r>
                  <w:r w:rsidRPr="00553964">
                    <w:rPr>
                      <w:b/>
                      <w:bCs/>
                    </w:rPr>
                    <w:t>Лот № 1.</w:t>
                  </w:r>
                  <w:r w:rsidRPr="00553964">
                    <w:t> Открытый одноэтапный конкурс без предварительного отбора на право заключения договора на выполнение работ по модернизации системы сбора и просмотра аварийной информации от разнородных распределенных источников на подстанциях филиала ОАО «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 xml:space="preserve">» </w:t>
                  </w:r>
                  <w:proofErr w:type="spellStart"/>
                  <w:r w:rsidRPr="00553964">
                    <w:t>Нижневартовские</w:t>
                  </w:r>
                  <w:proofErr w:type="spellEnd"/>
                  <w:r w:rsidRPr="00553964">
                    <w:t xml:space="preserve"> электрические сети (ОАО "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")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4521123 </w:t>
                  </w:r>
                  <w:hyperlink r:id="rId11" w:history="1">
                    <w:r w:rsidRPr="00553964">
                      <w:rPr>
                        <w:color w:val="1C50A4"/>
                        <w:u w:val="single"/>
                      </w:rPr>
                      <w:t>Подстанция электрическая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shd w:val="clear" w:color="auto" w:fill="FFFFFF"/>
                  </w:pPr>
                  <w:r w:rsidRPr="00553964">
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19.06.2014 14:37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rPr>
                      <w:b/>
                      <w:bCs/>
                    </w:rPr>
                    <w:t>08.09.2014 - 15.12.2014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hyperlink r:id="rId12" w:tgtFrame="_blank" w:tooltip="Отправить личное сообщение" w:history="1">
                    <w:r w:rsidRPr="00553964">
                      <w:rPr>
                        <w:color w:val="1C50A4"/>
                        <w:u w:val="single"/>
                      </w:rPr>
                      <w:t>Черных Юлия Николаевна</w:t>
                    </w:r>
                  </w:hyperlink>
                  <w:r w:rsidRPr="00553964">
                    <w:t>, тел.+7 (3466) 48-42-83, </w:t>
                  </w:r>
                  <w:hyperlink r:id="rId13" w:history="1">
                    <w:r w:rsidRPr="00553964">
                      <w:rPr>
                        <w:color w:val="1C50A4"/>
                        <w:u w:val="single"/>
                      </w:rPr>
                      <w:t>ChernyhYN@vartanet.ru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roofErr w:type="gramStart"/>
                  <w:r w:rsidRPr="00553964">
                    <w:t>Назначена</w:t>
                  </w:r>
                  <w:proofErr w:type="gramEnd"/>
                  <w:r w:rsidRPr="00553964">
                    <w:t xml:space="preserve"> приказом ОАО "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" от 03.06.2014 г. № 218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553964">
                    <w:br/>
                    <w:t>•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документации.</w:t>
                  </w:r>
                  <w:r w:rsidRPr="00553964">
                    <w:br/>
                  </w:r>
                  <w:r w:rsidRPr="00553964">
                    <w:lastRenderedPageBreak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553964">
                    <w:t>Россети</w:t>
                  </w:r>
                  <w:proofErr w:type="spellEnd"/>
                  <w:r w:rsidRPr="00553964">
                    <w:t>» – www.rugrids.ru и ОАО «ФСК ЕЭС» - www.fsk-ees.ru в разделе «Аттестация»</w:t>
                  </w:r>
                  <w:r w:rsidRPr="00553964">
                    <w:br/>
                    <w:t xml:space="preserve">• Участник, предложивший эквивалентный товар, должен в составе заявки </w:t>
                  </w:r>
                  <w:proofErr w:type="gramStart"/>
                  <w:r w:rsidRPr="00553964">
                    <w:t>предоставить характеристики</w:t>
                  </w:r>
                  <w:proofErr w:type="gramEnd"/>
                  <w:r w:rsidRPr="00553964">
                    <w:t xml:space="preserve"> эквивалентного товара по форме, в соответствии с требованиями технического задания.</w:t>
                  </w:r>
                  <w:r w:rsidRPr="00553964">
                    <w:br/>
                    <w:t xml:space="preserve">Отсутствие в составе </w:t>
                  </w:r>
                  <w:proofErr w:type="gramStart"/>
                  <w:r w:rsidRPr="00553964">
                    <w:t>заявки Участника описания характеристик эквивалента</w:t>
                  </w:r>
                  <w:proofErr w:type="gramEnd"/>
                  <w:r w:rsidRPr="00553964"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553964">
                    <w:br/>
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553964">
                    <w:br/>
                  </w:r>
                  <w:r w:rsidRPr="00553964"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553964">
                    <w:br/>
                    <w:t>• Участник должен обладать гражданской правоспособностью в полном объеме для заключения и исполнения Договора</w:t>
                  </w:r>
                  <w:r w:rsidRPr="00553964">
                    <w:br/>
                    <w:t xml:space="preserve">• Участник должен обладать необходимыми кадровыми ресурсами: персонал (основных рабочих специальностей) в бригадах: электромонтажники – не менее 1 чел. с группой по ЭБ не ниже 3, не менее 1 чел. с 4 группой по ЭБ; наладчики РЗА не менее 1 чел. с группой по ЭБ не ниже 3, не менее 1 чел. с 4 группой по ЭБ; специалисты </w:t>
                  </w:r>
                  <w:proofErr w:type="gramStart"/>
                  <w:r w:rsidRPr="00553964">
                    <w:t>ИТ</w:t>
                  </w:r>
                  <w:proofErr w:type="gramEnd"/>
                  <w:r w:rsidRPr="00553964">
                    <w:t xml:space="preserve"> не менее 2 чел. с группой по ЭБ не ниже 3. </w:t>
                  </w:r>
                  <w:proofErr w:type="gramStart"/>
                  <w:r w:rsidRPr="00553964">
                    <w:t>ИТР не менее 1 чел. с группой по ЭБ не ниже 5 имеющего право выдачи нарядов-допусков.</w:t>
                  </w:r>
                  <w:proofErr w:type="gramEnd"/>
                  <w:r w:rsidRPr="00553964">
                    <w:t xml:space="preserve"> Работы на ПС-110 </w:t>
                  </w:r>
                  <w:proofErr w:type="spellStart"/>
                  <w:r w:rsidRPr="00553964">
                    <w:t>кВ</w:t>
                  </w:r>
                  <w:proofErr w:type="spellEnd"/>
                  <w:r w:rsidRPr="00553964">
                    <w:t xml:space="preserve"> выполнять 2 бригадами.</w:t>
                  </w:r>
                  <w:r w:rsidRPr="00553964">
                    <w:br/>
                  </w:r>
                  <w:r w:rsidRPr="00553964">
                    <w:br/>
                    <w:t>Заявка Участника будет отклонена, в случае несоответствия установленным требованиям (форма 9)</w:t>
                  </w:r>
                  <w:r w:rsidRPr="00553964">
                    <w:br/>
                    <w:t>• Участник должен обладать необходимыми основными машинами и механизмами: </w:t>
                  </w:r>
                  <w:r w:rsidRPr="00553964">
                    <w:br/>
                    <w:t>- Автотранспорт для доставки рабочих на объекты не менее 2 ед.; автомобиль грузовой г/</w:t>
                  </w:r>
                  <w:proofErr w:type="gramStart"/>
                  <w:r w:rsidRPr="00553964">
                    <w:t>п</w:t>
                  </w:r>
                  <w:proofErr w:type="gramEnd"/>
                  <w:r w:rsidRPr="00553964">
                    <w:t xml:space="preserve"> 3-5 </w:t>
                  </w:r>
                  <w:proofErr w:type="spellStart"/>
                  <w:r w:rsidRPr="00553964">
                    <w:t>тн</w:t>
                  </w:r>
                  <w:proofErr w:type="spellEnd"/>
                  <w:r w:rsidRPr="00553964">
                    <w:t>. не менее 1 ед.; комплект инструмента и такелажа для монтажа оборудования не менее 2 ед.</w:t>
                  </w:r>
                  <w:r w:rsidRPr="00553964">
                    <w:br/>
                    <w:t>Заявка Участника будет отклонена, в случае несоответствия установленным требованиям (форма 8)</w:t>
                  </w:r>
                  <w:r w:rsidRPr="00553964">
                    <w:br/>
                    <w:t>• Участнику желательно иметь опыт выполнения аналогичных договоров в сопоставимых с предметом закупки объемах (в денежном выражении) за последние 3 года</w:t>
                  </w:r>
                  <w:r w:rsidRPr="00553964">
                    <w:br/>
                    <w:t xml:space="preserve">•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553964">
                    <w:t>последние</w:t>
                  </w:r>
                  <w:proofErr w:type="gramEnd"/>
                  <w:r w:rsidRPr="00553964">
                    <w:t xml:space="preserve"> 3 года</w:t>
                  </w:r>
                  <w:r w:rsidRPr="00553964">
                    <w:br/>
                    <w:t>Участник должен иметь устойчивое финансовое состояние.</w:t>
                  </w:r>
                  <w:r w:rsidRPr="00553964">
                    <w:br/>
                  </w:r>
                  <w:r w:rsidRPr="00553964">
                    <w:br/>
                    <w:t>Показатель финансовой устойчивости - стоимость чистых активов (СЧА) должен иметь значение &gt;0 </w:t>
                  </w:r>
                  <w:r w:rsidRPr="00553964">
                    <w:br/>
                    <w:t xml:space="preserve">Стоимость чистых активов (СЧА), рассчитывается по состоянию на </w:t>
                  </w:r>
                  <w:r w:rsidRPr="00553964">
                    <w:lastRenderedPageBreak/>
                    <w:t>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553964">
                    <w:br/>
                    <w:t>СЧА= стр.1600-стр.1400-стр.1500, </w:t>
                  </w:r>
                  <w:r w:rsidRPr="00553964">
                    <w:br/>
                    <w:t xml:space="preserve">при этом в расчет принимается стоимость фактически ликвидных активов (активы, имеющие рыночную стоимость не ниже </w:t>
                  </w:r>
                  <w:proofErr w:type="gramStart"/>
                  <w:r w:rsidRPr="00553964">
                    <w:t>балансовой</w:t>
                  </w:r>
                  <w:proofErr w:type="gramEnd"/>
                  <w:r w:rsidRPr="00553964">
                    <w:t>). </w:t>
                  </w:r>
                  <w:r w:rsidRPr="00553964">
                    <w:br/>
                  </w:r>
                  <w:r w:rsidRPr="00553964">
                    <w:br/>
                    <w:t>Показатель финансовой устойчивости - коэффициент соизмеримости (КСВ) должен иметь значение ≥ 0,5</w:t>
                  </w:r>
                  <w:r w:rsidRPr="00553964">
                    <w:br/>
                    <w:t>Коэффициент соизмеримости (КСВ)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КСВ=(V/B):(S/P),</w:t>
                  </w:r>
                  <w:r w:rsidRPr="00553964">
                    <w:br/>
                    <w:t>,</w:t>
                  </w:r>
                  <w:r w:rsidRPr="00553964"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553964">
                    <w:br/>
                  </w:r>
                  <w:proofErr w:type="gramStart"/>
                  <w:r w:rsidRPr="00553964">
                    <w:t>Р</w:t>
                  </w:r>
                  <w:proofErr w:type="gramEnd"/>
                  <w:r w:rsidRPr="00553964">
                    <w:t xml:space="preserve"> – период выполнения обязательств по договору (в месяцах);</w:t>
                  </w:r>
                  <w:r w:rsidRPr="00553964">
                    <w:br/>
                    <w:t>В – количество месяцев в периоде, в котором сформирован показатель V;</w:t>
                  </w:r>
                  <w:r w:rsidRPr="00553964">
                    <w:br/>
                    <w:t>S – сумма договора (без НДС).</w:t>
                  </w:r>
                  <w:r w:rsidRPr="00553964">
                    <w:br/>
                  </w:r>
                  <w:r w:rsidRPr="00553964">
                    <w:br/>
                  </w:r>
                  <w:proofErr w:type="gramStart"/>
                  <w:r w:rsidRPr="00553964"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553964">
                    <w:br/>
                  </w:r>
                  <w:r w:rsidRPr="00553964">
                    <w:br/>
                    <w:t>• Техническое и коммерческое предложения должны соответствовать требованиям Заказчика</w:t>
                  </w:r>
                  <w:r w:rsidRPr="00553964"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553964">
                    <w:br/>
                    <w:t>• Требования к благонадежности Участника, членам коллективного Участника, субподрядчика (соисполнителя</w:t>
                  </w:r>
                  <w:proofErr w:type="gramEnd"/>
                  <w:r w:rsidRPr="00553964">
                    <w:t>/</w:t>
                  </w:r>
                  <w:proofErr w:type="gramStart"/>
                  <w:r w:rsidRPr="00553964">
                    <w:t>субпоставщика)</w:t>
                  </w:r>
                  <w:r w:rsidRPr="00553964"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»;</w:t>
                  </w:r>
                  <w:r w:rsidRPr="00553964"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53964"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553964">
                    <w:br/>
                  </w:r>
                  <w:proofErr w:type="gramStart"/>
                  <w:r w:rsidRPr="00553964">
                    <w:t>г) экономическая деятельность Участника не должна быть приостановлена в административном порядке;</w:t>
                  </w:r>
                  <w:r w:rsidRPr="00553964">
                    <w:br/>
                    <w:t>д) Участник не должен иметь задолженность по уплате налогов;</w:t>
                  </w:r>
                  <w:r w:rsidRPr="00553964">
                    <w:br/>
                    <w:t>е) на имущество Участника не должен быть наложен арест;</w:t>
                  </w:r>
                  <w:r w:rsidRPr="00553964"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553964">
                    <w:br/>
                  </w:r>
                  <w:proofErr w:type="gramStart"/>
                  <w:r w:rsidRPr="00553964">
                    <w:t xml:space="preserve">з) отсутствие сведений об Участнике закупки и привлекаемых им субподрядчиков в реестре недобросовестных поставщиков, </w:t>
                  </w:r>
                  <w:r w:rsidRPr="00553964">
                    <w:lastRenderedPageBreak/>
                    <w:t>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553964"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553964">
                    <w:t>Россети</w:t>
                  </w:r>
                  <w:proofErr w:type="spellEnd"/>
                  <w:r w:rsidRPr="00553964">
                    <w:t>», ДЗО (ВЗО) ОАО «</w:t>
                  </w:r>
                  <w:proofErr w:type="spellStart"/>
                  <w:r w:rsidRPr="00553964">
                    <w:t>Россети</w:t>
                  </w:r>
                  <w:proofErr w:type="spellEnd"/>
                  <w:r w:rsidRPr="00553964">
                    <w:t>», а также родственниками работников ОАО «</w:t>
                  </w:r>
                  <w:proofErr w:type="spellStart"/>
                  <w:r w:rsidRPr="00553964">
                    <w:t>Россети</w:t>
                  </w:r>
                  <w:proofErr w:type="spellEnd"/>
                  <w:r w:rsidRPr="00553964">
                    <w:t>», ДЗО (ВЗО) ОАО «</w:t>
                  </w:r>
                  <w:proofErr w:type="spellStart"/>
                  <w:r w:rsidRPr="00553964">
                    <w:t>Россети</w:t>
                  </w:r>
                  <w:proofErr w:type="spellEnd"/>
                  <w:r w:rsidRPr="00553964">
                    <w:t>»;</w:t>
                  </w:r>
                  <w:r w:rsidRPr="00553964">
                    <w:br/>
                    <w:t>к) Участник не должен быть аффилирован к другим Участникам закупки;</w:t>
                  </w:r>
                  <w:r w:rsidRPr="00553964">
                    <w:br/>
                    <w:t>л) отсутствие у ОАО "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53964">
                    <w:br/>
                    <w:t>м) отсутствие сведений о предстоящем исключении контрагента из ЕГРЮЛ/ЕГРИП;</w:t>
                  </w:r>
                  <w:r w:rsidRPr="00553964"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553964">
                    <w:br/>
                  </w:r>
                  <w:r w:rsidRPr="00553964"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" (СЭБ ОАО "</w:t>
                  </w:r>
                  <w:proofErr w:type="spellStart"/>
                  <w:r w:rsidRPr="00553964">
                    <w:t>Тюменьэнерго</w:t>
                  </w:r>
                  <w:proofErr w:type="spellEnd"/>
                  <w:r w:rsidRPr="00553964">
                    <w:t>").</w:t>
                  </w:r>
                  <w:r w:rsidRPr="00553964">
                    <w:br/>
                    <w:t>• Заключение аудиторской проверки за последние 2 года в случаях, когда проведение аудиторской проверки в соответствии с законодательством Российской Федерации обязательно, а также в случае наличия заключения аудиторской проверки при проведении добровольного аудита</w:t>
                  </w:r>
                  <w:proofErr w:type="gramStart"/>
                  <w:r w:rsidRPr="00553964">
                    <w:br/>
                    <w:t>Б</w:t>
                  </w:r>
                  <w:proofErr w:type="gramEnd"/>
                  <w:r w:rsidRPr="00553964">
                    <w:t>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553964">
                    <w:t>о-</w:t>
                  </w:r>
                  <w:proofErr w:type="gramEnd"/>
                  <w:r w:rsidRPr="00553964"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hyperlink r:id="rId14" w:tgtFrame="_blank" w:history="1">
                    <w:r w:rsidRPr="00553964">
                      <w:rPr>
                        <w:color w:val="1C50A4"/>
                        <w:u w:val="single"/>
                      </w:rPr>
                      <w:t>Скачать файл</w:t>
                    </w:r>
                    <w:r w:rsidRPr="00553964">
                      <w:rPr>
                        <w:color w:val="1C50A4"/>
                      </w:rPr>
                      <w:t> </w:t>
                    </w:r>
                    <w:r w:rsidRPr="00553964">
                      <w:rPr>
                        <w:b/>
                        <w:bCs/>
                        <w:color w:val="1C50A4"/>
                        <w:u w:val="single"/>
                      </w:rPr>
                      <w:t>КД модернизация.zip</w:t>
                    </w:r>
                  </w:hyperlink>
                  <w:r w:rsidRPr="00553964">
                    <w:t> (8.4 Мб)</w:t>
                  </w:r>
                </w:p>
                <w:p w:rsidR="00553964" w:rsidRPr="00553964" w:rsidRDefault="00553964" w:rsidP="00553964">
                  <w:hyperlink r:id="rId15" w:history="1">
                    <w:r w:rsidRPr="00553964">
                      <w:rPr>
                        <w:b/>
                        <w:bCs/>
                        <w:color w:val="1C50A4"/>
                        <w:u w:val="single"/>
                      </w:rPr>
                      <w:t>Редактировать конкурсную документацию</w:t>
                    </w:r>
                  </w:hyperlink>
                </w:p>
                <w:p w:rsidR="00553964" w:rsidRPr="00553964" w:rsidRDefault="00553964" w:rsidP="00553964">
                  <w:hyperlink r:id="rId16" w:tgtFrame="signature" w:history="1">
                    <w:r w:rsidRPr="00553964">
                      <w:rPr>
                        <w:color w:val="1C50A4"/>
                        <w:u w:val="single"/>
                      </w:rPr>
                      <w:t>Подписана ЭП</w:t>
                    </w:r>
                  </w:hyperlink>
                </w:p>
                <w:p w:rsidR="00553964" w:rsidRPr="00553964" w:rsidRDefault="00553964" w:rsidP="00553964">
                  <w:hyperlink r:id="rId17" w:history="1">
                    <w:r w:rsidRPr="00553964">
                      <w:rPr>
                        <w:color w:val="1C50A4"/>
                        <w:u w:val="single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53964">
                    <w:t>с даты размещения</w:t>
                  </w:r>
                  <w:proofErr w:type="gramEnd"/>
                  <w:r w:rsidRPr="00553964">
                    <w:t xml:space="preserve"> закупки.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 xml:space="preserve">Обеспечение конкурсных заявок, </w:t>
                  </w:r>
                  <w:r w:rsidRPr="00553964">
                    <w:rPr>
                      <w:sz w:val="18"/>
                      <w:szCs w:val="18"/>
                    </w:rPr>
                    <w:lastRenderedPageBreak/>
                    <w:t>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lastRenderedPageBreak/>
                    <w:t xml:space="preserve">Финансовое обеспечение заявки в форме задатка не менее 3% от общей стоимости конкурсной заявки Участника конкурса (с учетом </w:t>
                  </w:r>
                  <w:r w:rsidRPr="00553964">
                    <w:lastRenderedPageBreak/>
                    <w:t>налогов). 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r w:rsidRPr="00553964">
                    <w:br/>
                    <w:t>1. Обеспечение исполнения обязательств на возврат Контрагентом авансовых платежей: в форме безотзывной и безусловной банковской гарантией.</w:t>
                  </w:r>
                  <w:r w:rsidRPr="00553964">
                    <w:br/>
                    <w:t>(Более подробная информация в Проекте Договора, Приложение № 2 к КД)</w:t>
                  </w:r>
                  <w:r w:rsidRPr="00553964">
                    <w:br/>
                  </w:r>
                  <w:r w:rsidRPr="00553964">
                    <w:br/>
                    <w:t>В случае авансирования 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553964"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553964"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553964">
                    <w:t>,</w:t>
                  </w:r>
                  <w:proofErr w:type="gramEnd"/>
                  <w:r w:rsidRPr="00553964">
                    <w:t xml:space="preserve"> чем на 6 (шесть) календарных месяцев;</w:t>
                  </w:r>
                  <w:r w:rsidRPr="00553964">
                    <w:br/>
                    <w:t>б) участвовать в системе страхования вкладов;</w:t>
                  </w:r>
                  <w:r w:rsidRPr="00553964"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553964">
                    <w:br/>
                  </w:r>
                  <w:r w:rsidRPr="00553964">
                    <w:br/>
                  </w:r>
                  <w:proofErr w:type="spellStart"/>
                  <w:r w:rsidRPr="00553964">
                    <w:t>Непредоставление</w:t>
                  </w:r>
                  <w:proofErr w:type="spellEnd"/>
                  <w:r w:rsidRPr="00553964">
                    <w:t xml:space="preserve"> комфортного/гарантийного письма является основанием к отклонению заявки Участника</w:t>
                  </w:r>
                  <w:r w:rsidRPr="00553964">
                    <w:br/>
                  </w:r>
                  <w:r w:rsidRPr="00553964"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налогов. (Более подробная информация в Проекте Договора, Приложении № 2 к КД)</w:t>
                  </w:r>
                  <w:r w:rsidRPr="00553964">
                    <w:br/>
                  </w:r>
                  <w:r w:rsidRPr="00553964"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Все документы, входящие в Конкурсную заявку, должны быть подготовлены на русском языке. Все суммы денежных сре</w:t>
                  </w:r>
                  <w:proofErr w:type="gramStart"/>
                  <w:r w:rsidRPr="00553964">
                    <w:t>дств в д</w:t>
                  </w:r>
                  <w:proofErr w:type="gramEnd"/>
                  <w:r w:rsidRPr="00553964"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</w:t>
                  </w:r>
                  <w:r w:rsidRPr="00553964">
                    <w:lastRenderedPageBreak/>
                    <w:t>независимо от причин опоздания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Цена с НДС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Вскрытие конвертов с заявками состоится </w:t>
                  </w:r>
                  <w:r w:rsidRPr="00553964">
                    <w:rPr>
                      <w:b/>
                      <w:bCs/>
                    </w:rPr>
                    <w:t>15.07.2014 в 08:00 по московскому времени</w:t>
                  </w:r>
                  <w:r w:rsidRPr="00553964">
                    <w:t>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04.08.2014 15:00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628617, ХМАО-Югра, Тюменская область, г. Нижневартовск, ул. Пермская, 22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14.08.2014 15:00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628617, ХМАО-Югра, Тюменская область, г. Нижневартовск, ул. Пермская, 22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53964">
                    <w:t>ранжировке</w:t>
                  </w:r>
                  <w:proofErr w:type="spellEnd"/>
                  <w:r w:rsidRPr="00553964"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Лот № 1. 5 746 743,05 руб. (цена с НДС)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r w:rsidRPr="00553964"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53964"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53964"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553964"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hyperlink r:id="rId18" w:history="1">
                    <w:r w:rsidRPr="00553964">
                      <w:rPr>
                        <w:color w:val="1C50A4"/>
                        <w:u w:val="single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6"/>
                    <w:gridCol w:w="3679"/>
                  </w:tblGrid>
                  <w:tr w:rsidR="00553964" w:rsidRPr="00553964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53964" w:rsidRPr="00553964" w:rsidRDefault="00553964" w:rsidP="00553964">
                        <w:r w:rsidRPr="00553964">
                          <w:rPr>
                            <w:b/>
                            <w:bCs/>
                          </w:rPr>
                          <w:t>Извещение [</w:t>
                        </w:r>
                        <w:hyperlink r:id="rId19" w:history="1">
                          <w:r w:rsidRPr="00553964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XML</w:t>
                          </w:r>
                        </w:hyperlink>
                        <w:r w:rsidRPr="00553964">
                          <w:rPr>
                            <w:b/>
                            <w:bCs/>
                          </w:rPr>
                          <w:t>]</w:t>
                        </w:r>
                      </w:p>
                      <w:p w:rsidR="00553964" w:rsidRPr="00553964" w:rsidRDefault="00553964" w:rsidP="00553964">
                        <w:pPr>
                          <w:spacing w:before="100" w:beforeAutospacing="1" w:after="100" w:afterAutospacing="1"/>
                        </w:pPr>
                        <w:r w:rsidRPr="00553964">
                          <w:lastRenderedPageBreak/>
                          <w:t>Процедура еще не была выгружена.</w:t>
                        </w:r>
                        <w:r w:rsidRPr="00553964">
                          <w:br/>
                        </w:r>
                        <w:r w:rsidRPr="00553964">
                          <w:rPr>
                            <w:color w:val="CC9300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53964" w:rsidRPr="00553964" w:rsidRDefault="00553964" w:rsidP="00553964">
                        <w:r w:rsidRPr="00553964">
                          <w:rPr>
                            <w:b/>
                            <w:bCs/>
                          </w:rPr>
                          <w:lastRenderedPageBreak/>
                          <w:t>Протоколы</w:t>
                        </w:r>
                      </w:p>
                      <w:p w:rsidR="00553964" w:rsidRPr="00553964" w:rsidRDefault="00553964" w:rsidP="00553964">
                        <w:pPr>
                          <w:spacing w:before="100" w:beforeAutospacing="1" w:after="100" w:afterAutospacing="1"/>
                        </w:pPr>
                        <w:r w:rsidRPr="00553964">
                          <w:lastRenderedPageBreak/>
                          <w:t>Протоколы отсутствуют</w:t>
                        </w:r>
                      </w:p>
                    </w:tc>
                  </w:tr>
                </w:tbl>
                <w:p w:rsidR="00553964" w:rsidRPr="00553964" w:rsidRDefault="00553964" w:rsidP="00553964"/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r w:rsidRPr="00553964">
                    <w:t>19.06.2014 13:06, </w:t>
                  </w:r>
                  <w:hyperlink r:id="rId20" w:tgtFrame="_blank" w:tooltip="Отправить личное сообщение" w:history="1">
                    <w:r w:rsidRPr="00553964">
                      <w:rPr>
                        <w:color w:val="1C50A4"/>
                        <w:u w:val="single"/>
                      </w:rPr>
                      <w:t>Черных Юлия Николаевна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hyperlink r:id="rId21" w:tgtFrame="signature" w:history="1">
                    <w:r w:rsidRPr="00553964">
                      <w:rPr>
                        <w:color w:val="1C50A4"/>
                        <w:u w:val="single"/>
                      </w:rPr>
                      <w:t>Подписано ЭП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53964" w:rsidRPr="00553964" w:rsidRDefault="00553964" w:rsidP="00553964">
                  <w:hyperlink r:id="rId22" w:history="1">
                    <w:r w:rsidRPr="00553964">
                      <w:rPr>
                        <w:color w:val="1C50A4"/>
                        <w:u w:val="single"/>
                      </w:rPr>
                      <w:t>Редактировать</w:t>
                    </w:r>
                    <w:proofErr w:type="gramStart"/>
                  </w:hyperlink>
                  <w:r w:rsidRPr="00553964">
                    <w:t> | </w:t>
                  </w:r>
                  <w:hyperlink r:id="rId23" w:history="1">
                    <w:r w:rsidRPr="00553964">
                      <w:rPr>
                        <w:color w:val="1C50A4"/>
                        <w:u w:val="single"/>
                      </w:rPr>
                      <w:t>О</w:t>
                    </w:r>
                    <w:proofErr w:type="gramEnd"/>
                    <w:r w:rsidRPr="00553964">
                      <w:rPr>
                        <w:color w:val="1C50A4"/>
                        <w:u w:val="single"/>
                      </w:rPr>
                      <w:t>тказаться</w:t>
                    </w:r>
                  </w:hyperlink>
                  <w:r w:rsidRPr="00553964">
                    <w:br/>
                  </w:r>
                  <w:hyperlink r:id="rId24" w:history="1">
                    <w:r w:rsidRPr="00553964">
                      <w:rPr>
                        <w:color w:val="1C50A4"/>
                        <w:u w:val="single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553964" w:rsidRPr="0055396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pPr>
                    <w:jc w:val="right"/>
                    <w:rPr>
                      <w:sz w:val="18"/>
                      <w:szCs w:val="18"/>
                    </w:rPr>
                  </w:pPr>
                  <w:r w:rsidRPr="00553964">
                    <w:rPr>
                      <w:sz w:val="18"/>
                      <w:szCs w:val="18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553964">
                      <w:rPr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?</w:t>
                    </w:r>
                  </w:hyperlink>
                  <w:r w:rsidRPr="00553964">
                    <w:rPr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553964" w:rsidRPr="00553964" w:rsidRDefault="00553964" w:rsidP="00553964">
                  <w:hyperlink r:id="rId26" w:tgtFrame="_blank" w:history="1">
                    <w:r w:rsidRPr="00553964">
                      <w:rPr>
                        <w:color w:val="1C50A4"/>
                        <w:u w:val="single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553964" w:rsidRPr="00553964" w:rsidRDefault="00553964" w:rsidP="005539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0320F" w:rsidRDefault="00B0320F"/>
    <w:sectPr w:rsidR="00B0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64"/>
    <w:rsid w:val="00553964"/>
    <w:rsid w:val="00B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53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903&amp;action=send_letters" TargetMode="External"/><Relationship Id="rId13" Type="http://schemas.openxmlformats.org/officeDocument/2006/relationships/hyperlink" Target="mailto:ChernyhYN@vartanet.ru" TargetMode="External"/><Relationship Id="rId18" Type="http://schemas.openxmlformats.org/officeDocument/2006/relationships/hyperlink" Target="http://www.b2b-mrsk.ru/market/view_tender.html?id=40903" TargetMode="External"/><Relationship Id="rId26" Type="http://schemas.openxmlformats.org/officeDocument/2006/relationships/hyperlink" Target="http://www.b2b-mrsk.ru/market/procedure_subscription.html?popup=1&amp;action=unsubscribe&amp;proc_type=tender&amp;proc_id=40903&amp;hash=b6bd37ac24ef603fb29d79ad761ea1d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0903&amp;action=signed_doc&amp;key=tender" TargetMode="External"/><Relationship Id="rId7" Type="http://schemas.openxmlformats.org/officeDocument/2006/relationships/hyperlink" Target="http://www.b2b-mrsk.ru/market/view_tender.html?id=40903&amp;action=invitations" TargetMode="External"/><Relationship Id="rId12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40903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40903&amp;action=signed_doc&amp;key=docs" TargetMode="External"/><Relationship Id="rId20" Type="http://schemas.openxmlformats.org/officeDocument/2006/relationships/hyperlink" Target="http://www.b2b-mrsk.ru/popups/send_message.html?action=send&amp;to=12505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903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market/services_request.html?lot_type=2&amp;lot_id=40903" TargetMode="External"/><Relationship Id="rId5" Type="http://schemas.openxmlformats.org/officeDocument/2006/relationships/hyperlink" Target="http://www.b2b-mrsk.ru/market/view_tender.html?id=40903&amp;show=lots" TargetMode="External"/><Relationship Id="rId15" Type="http://schemas.openxmlformats.org/officeDocument/2006/relationships/hyperlink" Target="http://www.b2b-mrsk.ru/market/edit_tender.html?id=40903&amp;action=docs" TargetMode="External"/><Relationship Id="rId23" Type="http://schemas.openxmlformats.org/officeDocument/2006/relationships/hyperlink" Target="http://www.b2b-mrsk.ru/market/edit_tender.html?action=terminate&amp;id=409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hyperlink" Target="http://www.b2b-mrsk.ru/market/view_tender.html?id=40903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903&amp;show=statistics" TargetMode="External"/><Relationship Id="rId14" Type="http://schemas.openxmlformats.org/officeDocument/2006/relationships/hyperlink" Target="http://www.b2b-mrsk.ru/download.html?file=file%2F10333617.zip&amp;title=%D0%9A%D0%94+%D0%BC%D0%BE%D0%B4%D0%B5%D1%80%D0%BD%D0%B8%D0%B7%D0%B0%D1%86%D0%B8%D1%8F.zip" TargetMode="External"/><Relationship Id="rId22" Type="http://schemas.openxmlformats.org/officeDocument/2006/relationships/hyperlink" Target="http://www.b2b-mrsk.ru/market/edit_tender.html?action=edit&amp;id=4090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2769</Words>
  <Characters>15787</Characters>
  <Application>Microsoft Office Word</Application>
  <DocSecurity>0</DocSecurity>
  <Lines>131</Lines>
  <Paragraphs>37</Paragraphs>
  <ScaleCrop>false</ScaleCrop>
  <Company>NVES</Company>
  <LinksUpToDate>false</LinksUpToDate>
  <CharactersWithSpaces>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2014-06-19T10:38:00Z</dcterms:created>
  <dcterms:modified xsi:type="dcterms:W3CDTF">2014-06-19T10:39:00Z</dcterms:modified>
</cp:coreProperties>
</file>