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81" w:rsidRPr="00672281" w:rsidRDefault="00672281" w:rsidP="00672281">
      <w:pPr>
        <w:spacing w:after="100" w:afterAutospacing="1" w:line="288" w:lineRule="auto"/>
        <w:outlineLvl w:val="0"/>
        <w:rPr>
          <w:rFonts w:ascii="Arial" w:eastAsia="Times New Roman" w:hAnsi="Arial" w:cs="Arial"/>
          <w:color w:val="333333"/>
          <w:kern w:val="36"/>
          <w:sz w:val="27"/>
          <w:szCs w:val="27"/>
          <w:lang w:eastAsia="ru-RU"/>
        </w:rPr>
      </w:pPr>
      <w:r w:rsidRPr="00672281">
        <w:rPr>
          <w:rFonts w:ascii="Arial" w:eastAsia="Times New Roman" w:hAnsi="Arial" w:cs="Arial"/>
          <w:color w:val="333333"/>
          <w:kern w:val="36"/>
          <w:sz w:val="27"/>
          <w:szCs w:val="27"/>
          <w:lang w:eastAsia="ru-RU"/>
        </w:rPr>
        <w:t>Конкурс (тендер) № 44430 </w:t>
      </w:r>
      <w:r w:rsidRPr="00672281">
        <w:rPr>
          <w:rFonts w:ascii="Arial" w:eastAsia="Times New Roman" w:hAnsi="Arial" w:cs="Arial"/>
          <w:color w:val="A0A0A0"/>
          <w:kern w:val="36"/>
          <w:sz w:val="20"/>
          <w:szCs w:val="20"/>
          <w:lang w:eastAsia="ru-RU"/>
        </w:rPr>
        <w:t>(предварительный квалификационный отбор 02.04.2015 в 15:00)</w:t>
      </w:r>
    </w:p>
    <w:p w:rsidR="00672281" w:rsidRPr="00672281" w:rsidRDefault="00672281" w:rsidP="00672281">
      <w:pPr>
        <w:spacing w:before="100" w:beforeAutospacing="1" w:after="100" w:afterAutospacing="1" w:line="240" w:lineRule="auto"/>
        <w:rPr>
          <w:rFonts w:ascii="Arial" w:eastAsia="Times New Roman" w:hAnsi="Arial" w:cs="Arial"/>
          <w:color w:val="FF0000"/>
          <w:sz w:val="18"/>
          <w:szCs w:val="18"/>
          <w:lang w:eastAsia="ru-RU"/>
        </w:rPr>
      </w:pPr>
      <w:r w:rsidRPr="00672281">
        <w:rPr>
          <w:rFonts w:ascii="Arial" w:eastAsia="Times New Roman" w:hAnsi="Arial" w:cs="Arial"/>
          <w:color w:val="FF0000"/>
          <w:sz w:val="18"/>
          <w:szCs w:val="18"/>
          <w:lang w:eastAsia="ru-RU"/>
        </w:rPr>
        <w:t xml:space="preserve">Конкурс успешно объявлен! </w:t>
      </w:r>
      <w:r w:rsidRPr="00672281">
        <w:rPr>
          <w:rFonts w:ascii="Arial" w:eastAsia="Times New Roman" w:hAnsi="Arial" w:cs="Arial"/>
          <w:color w:val="FF0000"/>
          <w:sz w:val="18"/>
          <w:szCs w:val="18"/>
          <w:lang w:eastAsia="ru-RU"/>
        </w:rPr>
        <w:br/>
      </w:r>
      <w:r w:rsidRPr="00672281">
        <w:rPr>
          <w:rFonts w:ascii="Arial" w:eastAsia="Times New Roman" w:hAnsi="Arial" w:cs="Arial"/>
          <w:color w:val="FF0000"/>
          <w:sz w:val="18"/>
          <w:szCs w:val="18"/>
          <w:lang w:eastAsia="ru-RU"/>
        </w:rPr>
        <w:br/>
      </w:r>
      <w:hyperlink r:id="rId4" w:history="1">
        <w:r w:rsidRPr="00672281">
          <w:rPr>
            <w:rFonts w:ascii="Times New Roman" w:eastAsia="Times New Roman" w:hAnsi="Times New Roman" w:cs="Times New Roman"/>
            <w:color w:val="1C50A4"/>
            <w:sz w:val="18"/>
            <w:szCs w:val="18"/>
            <w:lang w:eastAsia="ru-RU"/>
          </w:rPr>
          <w:t>По вашей тематике найдено 2008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72281" w:rsidRPr="00672281">
        <w:trPr>
          <w:tblCellSpacing w:w="0" w:type="dxa"/>
        </w:trPr>
        <w:tc>
          <w:tcPr>
            <w:tcW w:w="0" w:type="auto"/>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pict/>
            </w:r>
            <w:r w:rsidRPr="00672281">
              <w:rPr>
                <w:rFonts w:ascii="Arial" w:eastAsia="Times New Roman" w:hAnsi="Arial" w:cs="Arial"/>
                <w:b/>
                <w:bCs/>
                <w:sz w:val="18"/>
                <w:szCs w:val="18"/>
                <w:lang w:eastAsia="ru-RU"/>
              </w:rPr>
              <w:t>Извещение</w:t>
            </w:r>
          </w:p>
          <w:p w:rsidR="00672281" w:rsidRPr="00672281" w:rsidRDefault="00672281" w:rsidP="00672281">
            <w:pPr>
              <w:shd w:val="clear" w:color="auto" w:fill="D5DADB"/>
              <w:spacing w:after="30" w:line="240" w:lineRule="auto"/>
              <w:rPr>
                <w:rFonts w:ascii="Arial" w:eastAsia="Times New Roman" w:hAnsi="Arial" w:cs="Arial"/>
                <w:color w:val="333333"/>
                <w:sz w:val="18"/>
                <w:szCs w:val="18"/>
                <w:lang w:eastAsia="ru-RU"/>
              </w:rPr>
            </w:pPr>
            <w:hyperlink r:id="rId5" w:history="1">
              <w:r w:rsidRPr="00672281">
                <w:rPr>
                  <w:rFonts w:ascii="Arial" w:eastAsia="Times New Roman" w:hAnsi="Arial" w:cs="Arial"/>
                  <w:color w:val="333333"/>
                  <w:sz w:val="18"/>
                  <w:szCs w:val="18"/>
                  <w:u w:val="single"/>
                  <w:bdr w:val="none" w:sz="0" w:space="0" w:color="auto" w:frame="1"/>
                  <w:lang w:eastAsia="ru-RU"/>
                </w:rPr>
                <w:t>Лоты - 1</w:t>
              </w:r>
            </w:hyperlink>
          </w:p>
          <w:p w:rsidR="00672281" w:rsidRPr="00672281" w:rsidRDefault="00672281" w:rsidP="00672281">
            <w:pPr>
              <w:shd w:val="clear" w:color="auto" w:fill="D5DADB"/>
              <w:spacing w:after="30" w:line="240" w:lineRule="auto"/>
              <w:rPr>
                <w:rFonts w:ascii="Arial" w:eastAsia="Times New Roman" w:hAnsi="Arial" w:cs="Arial"/>
                <w:color w:val="333333"/>
                <w:sz w:val="18"/>
                <w:szCs w:val="18"/>
                <w:lang w:eastAsia="ru-RU"/>
              </w:rPr>
            </w:pPr>
            <w:hyperlink r:id="rId6" w:history="1">
              <w:r w:rsidRPr="00672281">
                <w:rPr>
                  <w:rFonts w:ascii="Arial" w:eastAsia="Times New Roman" w:hAnsi="Arial" w:cs="Arial"/>
                  <w:color w:val="333333"/>
                  <w:sz w:val="18"/>
                  <w:szCs w:val="18"/>
                  <w:u w:val="single"/>
                  <w:bdr w:val="none" w:sz="0" w:space="0" w:color="auto" w:frame="1"/>
                  <w:lang w:eastAsia="ru-RU"/>
                </w:rPr>
                <w:t>Запросы разъяснений - 0</w:t>
              </w:r>
            </w:hyperlink>
          </w:p>
          <w:p w:rsidR="00672281" w:rsidRPr="00672281" w:rsidRDefault="00672281" w:rsidP="00672281">
            <w:pPr>
              <w:shd w:val="clear" w:color="auto" w:fill="D5DADB"/>
              <w:spacing w:after="30" w:line="240" w:lineRule="auto"/>
              <w:rPr>
                <w:rFonts w:ascii="Arial" w:eastAsia="Times New Roman" w:hAnsi="Arial" w:cs="Arial"/>
                <w:color w:val="333333"/>
                <w:sz w:val="18"/>
                <w:szCs w:val="18"/>
                <w:lang w:eastAsia="ru-RU"/>
              </w:rPr>
            </w:pPr>
            <w:hyperlink r:id="rId7" w:history="1">
              <w:r w:rsidRPr="00672281">
                <w:rPr>
                  <w:rFonts w:ascii="Arial" w:eastAsia="Times New Roman" w:hAnsi="Arial" w:cs="Arial"/>
                  <w:color w:val="333333"/>
                  <w:sz w:val="18"/>
                  <w:szCs w:val="18"/>
                  <w:u w:val="single"/>
                  <w:bdr w:val="none" w:sz="0" w:space="0" w:color="auto" w:frame="1"/>
                  <w:lang w:eastAsia="ru-RU"/>
                </w:rPr>
                <w:t>Приглашения к участию - 0</w:t>
              </w:r>
            </w:hyperlink>
          </w:p>
          <w:p w:rsidR="00672281" w:rsidRPr="00672281" w:rsidRDefault="00672281" w:rsidP="00672281">
            <w:pPr>
              <w:shd w:val="clear" w:color="auto" w:fill="D5DADB"/>
              <w:spacing w:after="30" w:line="240" w:lineRule="auto"/>
              <w:rPr>
                <w:rFonts w:ascii="Arial" w:eastAsia="Times New Roman" w:hAnsi="Arial" w:cs="Arial"/>
                <w:color w:val="333333"/>
                <w:sz w:val="18"/>
                <w:szCs w:val="18"/>
                <w:lang w:eastAsia="ru-RU"/>
              </w:rPr>
            </w:pPr>
            <w:hyperlink r:id="rId8" w:history="1">
              <w:r w:rsidRPr="00672281">
                <w:rPr>
                  <w:rFonts w:ascii="Arial" w:eastAsia="Times New Roman" w:hAnsi="Arial" w:cs="Arial"/>
                  <w:color w:val="333333"/>
                  <w:sz w:val="18"/>
                  <w:szCs w:val="18"/>
                  <w:u w:val="single"/>
                  <w:bdr w:val="none" w:sz="0" w:space="0" w:color="auto" w:frame="1"/>
                  <w:lang w:eastAsia="ru-RU"/>
                </w:rPr>
                <w:t>Претенденты - 0</w:t>
              </w:r>
            </w:hyperlink>
          </w:p>
          <w:p w:rsidR="00672281" w:rsidRPr="00672281" w:rsidRDefault="00672281" w:rsidP="00672281">
            <w:pPr>
              <w:shd w:val="clear" w:color="auto" w:fill="D5DADB"/>
              <w:spacing w:after="30" w:line="240" w:lineRule="auto"/>
              <w:rPr>
                <w:rFonts w:ascii="Arial" w:eastAsia="Times New Roman" w:hAnsi="Arial" w:cs="Arial"/>
                <w:color w:val="333333"/>
                <w:sz w:val="18"/>
                <w:szCs w:val="18"/>
                <w:lang w:eastAsia="ru-RU"/>
              </w:rPr>
            </w:pPr>
            <w:hyperlink r:id="rId9" w:history="1">
              <w:r w:rsidRPr="0067228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72281" w:rsidRPr="00672281" w:rsidRDefault="00672281" w:rsidP="0067228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672281" w:rsidRPr="00672281">
        <w:trPr>
          <w:tblCellSpacing w:w="7" w:type="dxa"/>
        </w:trPr>
        <w:tc>
          <w:tcPr>
            <w:tcW w:w="0" w:type="auto"/>
            <w:shd w:val="clear" w:color="auto" w:fill="C2C9CD"/>
            <w:tcMar>
              <w:top w:w="75" w:type="dxa"/>
              <w:left w:w="75" w:type="dxa"/>
              <w:bottom w:w="75" w:type="dxa"/>
              <w:right w:w="75" w:type="dxa"/>
            </w:tcMar>
            <w:hideMark/>
          </w:tcPr>
          <w:p w:rsidR="00672281" w:rsidRPr="00672281" w:rsidRDefault="00672281" w:rsidP="0067228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672281">
                <w:rPr>
                  <w:rFonts w:ascii="Arial" w:eastAsia="Times New Roman" w:hAnsi="Arial" w:cs="Arial"/>
                  <w:b/>
                  <w:bCs/>
                  <w:color w:val="1C50A4"/>
                  <w:sz w:val="18"/>
                  <w:szCs w:val="18"/>
                  <w:lang w:eastAsia="ru-RU"/>
                </w:rPr>
                <w:t>Филиал ОАО "Тюменьэнерго" Сургутские электрические сети</w:t>
              </w:r>
            </w:hyperlink>
            <w:r w:rsidRPr="00672281">
              <w:rPr>
                <w:rFonts w:ascii="Arial" w:eastAsia="Times New Roman" w:hAnsi="Arial" w:cs="Arial"/>
                <w:color w:val="333333"/>
                <w:sz w:val="18"/>
                <w:szCs w:val="18"/>
                <w:lang w:eastAsia="ru-RU"/>
              </w:rPr>
              <w:t xml:space="preserve">, 628403, Россия, Тюменская обл., Ханты-Мансийский Автономный округ - Югра, г. Сургут, ул.30лет Победы, д.30, </w:t>
            </w:r>
            <w:r w:rsidRPr="00672281">
              <w:rPr>
                <w:rFonts w:ascii="Arial" w:eastAsia="Times New Roman" w:hAnsi="Arial" w:cs="Arial"/>
                <w:b/>
                <w:bCs/>
                <w:color w:val="333333"/>
                <w:sz w:val="18"/>
                <w:szCs w:val="18"/>
                <w:lang w:eastAsia="ru-RU"/>
              </w:rPr>
              <w:t>приглашает принять участие в процедуре (тендере)</w:t>
            </w:r>
            <w:r w:rsidRPr="00672281">
              <w:rPr>
                <w:rFonts w:ascii="Arial" w:eastAsia="Times New Roman" w:hAnsi="Arial" w:cs="Arial"/>
                <w:color w:val="333333"/>
                <w:sz w:val="18"/>
                <w:szCs w:val="18"/>
                <w:lang w:eastAsia="ru-RU"/>
              </w:rPr>
              <w:t>.</w:t>
            </w:r>
          </w:p>
        </w:tc>
      </w:tr>
      <w:tr w:rsidR="00672281" w:rsidRPr="0067228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83"/>
              <w:gridCol w:w="6644"/>
            </w:tblGrid>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Предмет конкурса (тендера):</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Открытый одноэтапный конкурс с предварительным квалификационным отбором на право заключения Договора на выполнение работ по реконструкции ограждения и систем безопасности на ПС 110/6 кВ Бензиновая, ПС110/10 кВ Форпост филиала ОАО "Тюменьэнерго" Сургутские электрические сети</w:t>
                  </w:r>
                  <w:r w:rsidRPr="00672281">
                    <w:rPr>
                      <w:rFonts w:ascii="Arial" w:eastAsia="Times New Roman" w:hAnsi="Arial" w:cs="Arial"/>
                      <w:sz w:val="18"/>
                      <w:szCs w:val="18"/>
                      <w:lang w:eastAsia="ru-RU"/>
                    </w:rPr>
                    <w:br/>
                  </w:r>
                  <w:r w:rsidRPr="00672281">
                    <w:rPr>
                      <w:rFonts w:ascii="Arial" w:eastAsia="Times New Roman" w:hAnsi="Arial" w:cs="Arial"/>
                      <w:b/>
                      <w:bCs/>
                      <w:sz w:val="18"/>
                      <w:szCs w:val="18"/>
                      <w:lang w:eastAsia="ru-RU"/>
                    </w:rPr>
                    <w:t>Лот № 1.</w:t>
                  </w:r>
                  <w:r w:rsidRPr="00672281">
                    <w:rPr>
                      <w:rFonts w:ascii="Arial" w:eastAsia="Times New Roman" w:hAnsi="Arial" w:cs="Arial"/>
                      <w:sz w:val="18"/>
                      <w:szCs w:val="18"/>
                      <w:lang w:eastAsia="ru-RU"/>
                    </w:rPr>
                    <w:t xml:space="preserve"> Выполнение работ по реконструкции ограждения и систем безопасности на ПС 110/6 кВ Бензиновая, ПС110/10 кВ Форпост филиала ОАО "Тюменьэнерго" Сургутские электрические сети (ОАО "Тюменьэнерго")</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Категории классификатора:</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3697505 </w:t>
                  </w:r>
                  <w:hyperlink r:id="rId11" w:history="1">
                    <w:r w:rsidRPr="00672281">
                      <w:rPr>
                        <w:rFonts w:ascii="Arial" w:eastAsia="Times New Roman" w:hAnsi="Arial" w:cs="Arial"/>
                        <w:color w:val="1C50A4"/>
                        <w:sz w:val="18"/>
                        <w:szCs w:val="18"/>
                        <w:lang w:eastAsia="ru-RU"/>
                      </w:rPr>
                      <w:t>Ворота, заборы и ограды</w:t>
                    </w:r>
                  </w:hyperlink>
                  <w:r w:rsidRPr="00672281">
                    <w:rPr>
                      <w:rFonts w:ascii="Arial" w:eastAsia="Times New Roman" w:hAnsi="Arial" w:cs="Arial"/>
                      <w:sz w:val="18"/>
                      <w:szCs w:val="18"/>
                      <w:lang w:eastAsia="ru-RU"/>
                    </w:rPr>
                    <w:br/>
                    <w:t>4520108 </w:t>
                  </w:r>
                  <w:hyperlink r:id="rId12" w:history="1">
                    <w:r w:rsidRPr="00672281">
                      <w:rPr>
                        <w:rFonts w:ascii="Arial" w:eastAsia="Times New Roman" w:hAnsi="Arial" w:cs="Arial"/>
                        <w:color w:val="1C50A4"/>
                        <w:sz w:val="18"/>
                        <w:szCs w:val="18"/>
                        <w:lang w:eastAsia="ru-RU"/>
                      </w:rPr>
                      <w:t>Монтаж конструкций ворот, лестниц, площадок, дверей, люков, лазов</w:t>
                    </w:r>
                  </w:hyperlink>
                  <w:r w:rsidRPr="00672281">
                    <w:rPr>
                      <w:rFonts w:ascii="Arial" w:eastAsia="Times New Roman" w:hAnsi="Arial" w:cs="Arial"/>
                      <w:sz w:val="18"/>
                      <w:szCs w:val="18"/>
                      <w:lang w:eastAsia="ru-RU"/>
                    </w:rPr>
                    <w:br/>
                    <w:t>4540322 </w:t>
                  </w:r>
                  <w:hyperlink r:id="rId13" w:history="1">
                    <w:r w:rsidRPr="00672281">
                      <w:rPr>
                        <w:rFonts w:ascii="Arial" w:eastAsia="Times New Roman" w:hAnsi="Arial" w:cs="Arial"/>
                        <w:color w:val="1C50A4"/>
                        <w:sz w:val="18"/>
                        <w:szCs w:val="18"/>
                        <w:lang w:eastAsia="ru-RU"/>
                      </w:rPr>
                      <w:t>Устройство железобетонных оград</w:t>
                    </w:r>
                  </w:hyperlink>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Категория ОКДП:</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7421026 </w:t>
                  </w:r>
                  <w:hyperlink r:id="rId14" w:history="1">
                    <w:r w:rsidRPr="00672281">
                      <w:rPr>
                        <w:rFonts w:ascii="Arial" w:eastAsia="Times New Roman" w:hAnsi="Arial" w:cs="Arial"/>
                        <w:color w:val="1C50A4"/>
                        <w:sz w:val="18"/>
                        <w:szCs w:val="18"/>
                        <w:lang w:eastAsia="ru-RU"/>
                      </w:rPr>
                      <w:t>Инженерные услуги, оказываемые в процессе строительства зданий и монтажа оборудования</w:t>
                    </w:r>
                  </w:hyperlink>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Категория ОКВЭД:</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672281">
                    <w:rPr>
                      <w:rFonts w:ascii="Arial" w:eastAsia="Times New Roman" w:hAnsi="Arial" w:cs="Arial"/>
                      <w:sz w:val="18"/>
                      <w:szCs w:val="18"/>
                      <w:lang w:eastAsia="ru-RU"/>
                    </w:rPr>
                    <w:t xml:space="preserve">Монтаж прочего инженерного оборудования; </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Конкурс (тендер) объявлен:</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13.03.2015 09:48</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Сроки поставки:</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b/>
                      <w:bCs/>
                      <w:sz w:val="18"/>
                      <w:szCs w:val="18"/>
                      <w:lang w:eastAsia="ru-RU"/>
                    </w:rPr>
                    <w:t>10.06.2015 - 30.09.2015</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Почтовый адрес заказчика:</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628403, Россия, Тюменская обл., Ханты-Мансийский Автономный округ - Югра, г. Сургут, ул.30лет Победы, д.30</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628403, Россия, Ханты-Мансийский Автономный округ - Югра, г. Сургут, ул. 30 лет Победы, д. 30</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Контактное лицо:</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672281">
                      <w:rPr>
                        <w:rFonts w:ascii="Arial" w:eastAsia="Times New Roman" w:hAnsi="Arial" w:cs="Arial"/>
                        <w:color w:val="1C50A4"/>
                        <w:sz w:val="18"/>
                        <w:szCs w:val="18"/>
                        <w:lang w:eastAsia="ru-RU"/>
                      </w:rPr>
                      <w:t>Кочержинский Алексей Николаевич</w:t>
                    </w:r>
                  </w:hyperlink>
                  <w:r w:rsidRPr="00672281">
                    <w:rPr>
                      <w:rFonts w:ascii="Arial" w:eastAsia="Times New Roman" w:hAnsi="Arial" w:cs="Arial"/>
                      <w:sz w:val="18"/>
                      <w:szCs w:val="18"/>
                      <w:lang w:eastAsia="ru-RU"/>
                    </w:rPr>
                    <w:t xml:space="preserve">, тел.+7 (3462) 77-33-24, </w:t>
                  </w:r>
                  <w:hyperlink r:id="rId18" w:history="1">
                    <w:r w:rsidRPr="00672281">
                      <w:rPr>
                        <w:rFonts w:ascii="Arial" w:eastAsia="Times New Roman" w:hAnsi="Arial" w:cs="Arial"/>
                        <w:color w:val="1C50A4"/>
                        <w:sz w:val="18"/>
                        <w:szCs w:val="18"/>
                        <w:lang w:eastAsia="ru-RU"/>
                      </w:rPr>
                      <w:t>zakupki@sures.te.ru</w:t>
                    </w:r>
                  </w:hyperlink>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Конкурсная комиссия:</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назначена приказом ОАО "Тюменьэнерго"</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Требования к участникам:</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 xml:space="preserve">1. Финансовое обеспечение участия в процедуре закупки в форме задатка в размере не менее 3 % от стоимости предложения с учетом налогов </w:t>
                  </w:r>
                  <w:r w:rsidRPr="00672281">
                    <w:rPr>
                      <w:rFonts w:ascii="Arial" w:eastAsia="Times New Roman" w:hAnsi="Arial" w:cs="Arial"/>
                      <w:sz w:val="18"/>
                      <w:szCs w:val="18"/>
                      <w:lang w:eastAsia="ru-RU"/>
                    </w:rPr>
                    <w:br/>
                    <w:t>2. Финансовое обеспечение исполнения обязательств по договору (перечисление денежных средств) в размере не менее 3 %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sidRPr="00672281">
                    <w:rPr>
                      <w:rFonts w:ascii="Arial" w:eastAsia="Times New Roman" w:hAnsi="Arial" w:cs="Arial"/>
                      <w:sz w:val="18"/>
                      <w:szCs w:val="18"/>
                      <w:lang w:eastAsia="ru-RU"/>
                    </w:rPr>
                    <w:br/>
                    <w:t xml:space="preserve">3. 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 </w:t>
                  </w:r>
                  <w:r w:rsidRPr="00672281">
                    <w:rPr>
                      <w:rFonts w:ascii="Arial" w:eastAsia="Times New Roman" w:hAnsi="Arial" w:cs="Arial"/>
                      <w:sz w:val="18"/>
                      <w:szCs w:val="18"/>
                      <w:lang w:eastAsia="ru-RU"/>
                    </w:rPr>
                    <w:br/>
                    <w:t>4.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672281">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ОАО «Россети» в информационно-телекоммуникационной сети Интернет </w:t>
                  </w:r>
                  <w:r w:rsidRPr="00672281">
                    <w:rPr>
                      <w:rFonts w:ascii="Arial" w:eastAsia="Times New Roman" w:hAnsi="Arial" w:cs="Arial"/>
                      <w:sz w:val="18"/>
                      <w:szCs w:val="18"/>
                      <w:lang w:eastAsia="ru-RU"/>
                    </w:rPr>
                    <w:br/>
                  </w:r>
                  <w:r w:rsidRPr="00672281">
                    <w:rPr>
                      <w:rFonts w:ascii="Arial" w:eastAsia="Times New Roman" w:hAnsi="Arial" w:cs="Arial"/>
                      <w:sz w:val="18"/>
                      <w:szCs w:val="18"/>
                      <w:lang w:eastAsia="ru-RU"/>
                    </w:rPr>
                    <w:br/>
                  </w:r>
                  <w:r w:rsidRPr="00672281">
                    <w:rPr>
                      <w:rFonts w:ascii="Arial" w:eastAsia="Times New Roman" w:hAnsi="Arial" w:cs="Arial"/>
                      <w:sz w:val="18"/>
                      <w:szCs w:val="18"/>
                      <w:lang w:eastAsia="ru-RU"/>
                    </w:rPr>
                    <w:lastRenderedPageBreak/>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«Россети» в информационно-телекоммуникационной сети Интернет.</w:t>
                  </w:r>
                  <w:r w:rsidRPr="00672281">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672281">
                    <w:rPr>
                      <w:rFonts w:ascii="Arial" w:eastAsia="Times New Roman" w:hAnsi="Arial" w:cs="Arial"/>
                      <w:sz w:val="18"/>
                      <w:szCs w:val="18"/>
                      <w:lang w:eastAsia="ru-RU"/>
                    </w:rPr>
                    <w:br/>
                    <w:t>5.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672281">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672281">
                    <w:rPr>
                      <w:rFonts w:ascii="Arial" w:eastAsia="Times New Roman" w:hAnsi="Arial" w:cs="Arial"/>
                      <w:sz w:val="18"/>
                      <w:szCs w:val="18"/>
                      <w:lang w:eastAsia="ru-RU"/>
                    </w:rPr>
                    <w:br/>
                    <w:t>6.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672281">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672281">
                    <w:rPr>
                      <w:rFonts w:ascii="Arial" w:eastAsia="Times New Roman" w:hAnsi="Arial" w:cs="Arial"/>
                      <w:sz w:val="18"/>
                      <w:szCs w:val="18"/>
                      <w:lang w:eastAsia="ru-RU"/>
                    </w:rPr>
                    <w:br/>
                    <w:t>7. Работы/услуги/поставки, выполняемые субподрядчиками/соисполнителями/ субпоставщиками не должны превышать 50% от общего объема работ</w:t>
                  </w:r>
                  <w:r w:rsidRPr="00672281">
                    <w:rPr>
                      <w:rFonts w:ascii="Arial" w:eastAsia="Times New Roman" w:hAnsi="Arial" w:cs="Arial"/>
                      <w:sz w:val="18"/>
                      <w:szCs w:val="18"/>
                      <w:lang w:eastAsia="ru-RU"/>
                    </w:rPr>
                    <w:br/>
                    <w:t>8. Участник должен обладать гражданской правоспособностью в полном объеме для заключения и исполнения Договора</w:t>
                  </w:r>
                  <w:r w:rsidRPr="00672281">
                    <w:rPr>
                      <w:rFonts w:ascii="Arial" w:eastAsia="Times New Roman" w:hAnsi="Arial" w:cs="Arial"/>
                      <w:sz w:val="18"/>
                      <w:szCs w:val="18"/>
                      <w:lang w:eastAsia="ru-RU"/>
                    </w:rPr>
                    <w:br/>
                    <w:t>9.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672281">
                    <w:rPr>
                      <w:rFonts w:ascii="Arial" w:eastAsia="Times New Roman" w:hAnsi="Arial" w:cs="Arial"/>
                      <w:sz w:val="18"/>
                      <w:szCs w:val="18"/>
                      <w:lang w:eastAsia="ru-RU"/>
                    </w:rPr>
                    <w:br/>
                    <w:t>10. Участник должен обладать необходимыми кадровыми ресурсами: см. приложение 1 к техническому заданию заказчика.</w:t>
                  </w:r>
                  <w:r w:rsidRPr="00672281">
                    <w:rPr>
                      <w:rFonts w:ascii="Arial" w:eastAsia="Times New Roman" w:hAnsi="Arial" w:cs="Arial"/>
                      <w:sz w:val="18"/>
                      <w:szCs w:val="18"/>
                      <w:lang w:eastAsia="ru-RU"/>
                    </w:rPr>
                    <w:br/>
                    <w:t>11. Кадровые ресурсы Участника, необходимые для выполнения работ по договору, должны удовлетворять требованиям ст. 10 Федерального Закона от 21.07.2011 г. № 256-ФЗ «О безопасности объектов топливно-энергетического комплекса»:</w:t>
                  </w:r>
                  <w:r w:rsidRPr="00672281">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672281">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672281">
                    <w:rPr>
                      <w:rFonts w:ascii="Arial" w:eastAsia="Times New Roman" w:hAnsi="Arial" w:cs="Arial"/>
                      <w:sz w:val="18"/>
                      <w:szCs w:val="18"/>
                      <w:lang w:eastAsia="ru-RU"/>
                    </w:rPr>
                    <w:br/>
                    <w:t>-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672281">
                    <w:rPr>
                      <w:rFonts w:ascii="Arial" w:eastAsia="Times New Roman" w:hAnsi="Arial" w:cs="Arial"/>
                      <w:sz w:val="18"/>
                      <w:szCs w:val="18"/>
                      <w:lang w:eastAsia="ru-RU"/>
                    </w:rPr>
                    <w:br/>
                    <w:t>12. Для выполнения работ по реконструкции ограждения и систем безопасности ПС 110/6 кВ Бензиновая, ПС 110/10 кВ Форпост филиала ОАО «Тюменьэнерго» Сургутские электрические сети, участник должен иметь Свидетельство о допуске к работам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III, п. 33, п.п. 33.4, Приказ №624 от 30.12.2009 г. Министерства регионального развития Российской федерации).</w:t>
                  </w:r>
                  <w:r w:rsidRPr="00672281">
                    <w:rPr>
                      <w:rFonts w:ascii="Arial" w:eastAsia="Times New Roman" w:hAnsi="Arial" w:cs="Arial"/>
                      <w:sz w:val="18"/>
                      <w:szCs w:val="18"/>
                      <w:lang w:eastAsia="ru-RU"/>
                    </w:rPr>
                    <w:br/>
                    <w:t>13. Участник должен обладать необходимыми основными машинами и механизмами: см. приложение 1 к техническому заданию заказчика.</w:t>
                  </w:r>
                  <w:r w:rsidRPr="00672281">
                    <w:rPr>
                      <w:rFonts w:ascii="Arial" w:eastAsia="Times New Roman" w:hAnsi="Arial" w:cs="Arial"/>
                      <w:sz w:val="18"/>
                      <w:szCs w:val="18"/>
                      <w:lang w:eastAsia="ru-RU"/>
                    </w:rPr>
                    <w:br/>
                    <w:t>14. Участник должен иметь устойчивое финансовое состояние.</w:t>
                  </w:r>
                  <w:r w:rsidRPr="00672281">
                    <w:rPr>
                      <w:rFonts w:ascii="Arial" w:eastAsia="Times New Roman" w:hAnsi="Arial" w:cs="Arial"/>
                      <w:sz w:val="18"/>
                      <w:szCs w:val="18"/>
                      <w:lang w:eastAsia="ru-RU"/>
                    </w:rPr>
                    <w:br/>
                    <w:t>15. Техническое и коммерческое предложения должны соответствовать требованиям Заказчика</w:t>
                  </w:r>
                  <w:r w:rsidRPr="00672281">
                    <w:rPr>
                      <w:rFonts w:ascii="Arial" w:eastAsia="Times New Roman" w:hAnsi="Arial" w:cs="Arial"/>
                      <w:sz w:val="18"/>
                      <w:szCs w:val="18"/>
                      <w:lang w:eastAsia="ru-RU"/>
                    </w:rPr>
                    <w:br/>
                  </w:r>
                  <w:r w:rsidRPr="00672281">
                    <w:rPr>
                      <w:rFonts w:ascii="Arial" w:eastAsia="Times New Roman" w:hAnsi="Arial" w:cs="Arial"/>
                      <w:sz w:val="18"/>
                      <w:szCs w:val="18"/>
                      <w:lang w:eastAsia="ru-RU"/>
                    </w:rPr>
                    <w:lastRenderedPageBreak/>
                    <w:t>16.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72281">
                    <w:rPr>
                      <w:rFonts w:ascii="Arial" w:eastAsia="Times New Roman" w:hAnsi="Arial" w:cs="Arial"/>
                      <w:sz w:val="18"/>
                      <w:szCs w:val="18"/>
                      <w:lang w:eastAsia="ru-RU"/>
                    </w:rPr>
                    <w:br/>
                    <w:t>17. Требования к благонадежности Участника, членам коллективного Участника, субподрядчика (соисполнителя/субпоставщика)</w:t>
                  </w:r>
                  <w:r w:rsidRPr="0067228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7228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7228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7228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72281">
                    <w:rPr>
                      <w:rFonts w:ascii="Arial" w:eastAsia="Times New Roman" w:hAnsi="Arial" w:cs="Arial"/>
                      <w:sz w:val="18"/>
                      <w:szCs w:val="18"/>
                      <w:lang w:eastAsia="ru-RU"/>
                    </w:rPr>
                    <w:br/>
                    <w:t>д) Участник не должен иметь задолженность по уплате налогов;</w:t>
                  </w:r>
                  <w:r w:rsidRPr="00672281">
                    <w:rPr>
                      <w:rFonts w:ascii="Arial" w:eastAsia="Times New Roman" w:hAnsi="Arial" w:cs="Arial"/>
                      <w:sz w:val="18"/>
                      <w:szCs w:val="18"/>
                      <w:lang w:eastAsia="ru-RU"/>
                    </w:rPr>
                    <w:br/>
                    <w:t>е) на имущество Участника не должен быть наложен арест;</w:t>
                  </w:r>
                  <w:r w:rsidRPr="0067228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7228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7228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672281">
                    <w:rPr>
                      <w:rFonts w:ascii="Arial" w:eastAsia="Times New Roman" w:hAnsi="Arial" w:cs="Arial"/>
                      <w:sz w:val="18"/>
                      <w:szCs w:val="18"/>
                      <w:lang w:eastAsia="ru-RU"/>
                    </w:rPr>
                    <w:br/>
                    <w:t>к) Участник не должен быть аффилирован к другим Участникам закупки;</w:t>
                  </w:r>
                  <w:r w:rsidRPr="0067228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7228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7228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72281">
                    <w:rPr>
                      <w:rFonts w:ascii="Arial" w:eastAsia="Times New Roman" w:hAnsi="Arial" w:cs="Arial"/>
                      <w:sz w:val="18"/>
                      <w:szCs w:val="18"/>
                      <w:lang w:eastAsia="ru-RU"/>
                    </w:rPr>
                    <w:br/>
                  </w:r>
                  <w:r w:rsidRPr="0067228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672281">
                    <w:rPr>
                      <w:rFonts w:ascii="Arial" w:eastAsia="Times New Roman" w:hAnsi="Arial" w:cs="Arial"/>
                      <w:sz w:val="18"/>
                      <w:szCs w:val="18"/>
                      <w:lang w:eastAsia="ru-RU"/>
                    </w:rPr>
                    <w:br/>
                    <w:t>18. В составе документов, подаваемых на этапе предквалификации, Участник должен предоставить 2 экземпляра подписанного соглашения об охране информации, составляющей коммерческую тайну, в соответствии с формой 11 (два экземпляра соглашения предоставляются на бумажном носителе, в отдельном конверте и не сшиваются с оригиналом конкурсной заявкой).</w:t>
                  </w:r>
                  <w:r w:rsidRPr="00672281">
                    <w:rPr>
                      <w:rFonts w:ascii="Arial" w:eastAsia="Times New Roman" w:hAnsi="Arial" w:cs="Arial"/>
                      <w:sz w:val="18"/>
                      <w:szCs w:val="18"/>
                      <w:lang w:eastAsia="ru-RU"/>
                    </w:rPr>
                    <w:br/>
                    <w:t xml:space="preserve">В случае непредоставления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 </w:t>
                  </w:r>
                  <w:r w:rsidRPr="00672281">
                    <w:rPr>
                      <w:rFonts w:ascii="Arial" w:eastAsia="Times New Roman" w:hAnsi="Arial" w:cs="Arial"/>
                      <w:sz w:val="18"/>
                      <w:szCs w:val="18"/>
                      <w:lang w:eastAsia="ru-RU"/>
                    </w:rPr>
                    <w:br/>
                    <w:t xml:space="preserve">19. 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w:t>
                  </w:r>
                  <w:r w:rsidRPr="00672281">
                    <w:rPr>
                      <w:rFonts w:ascii="Arial" w:eastAsia="Times New Roman" w:hAnsi="Arial" w:cs="Arial"/>
                      <w:sz w:val="18"/>
                      <w:szCs w:val="18"/>
                      <w:lang w:eastAsia="ru-RU"/>
                    </w:rPr>
                    <w:lastRenderedPageBreak/>
                    <w:t>связанного с виновными действиями ОАО "Тюменьэнерго", от исполнения заключенного(ых) с ОАО "Тюменьэнерго"договора (ов).</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 xml:space="preserve">1. Финансовое обеспечение участия в процедуре закупки в форме задатка в размере не менее 3 % от стоимости предложения с учетом налогов </w:t>
                  </w:r>
                  <w:r w:rsidRPr="00672281">
                    <w:rPr>
                      <w:rFonts w:ascii="Arial" w:eastAsia="Times New Roman" w:hAnsi="Arial" w:cs="Arial"/>
                      <w:sz w:val="18"/>
                      <w:szCs w:val="18"/>
                      <w:lang w:eastAsia="ru-RU"/>
                    </w:rPr>
                    <w:br/>
                    <w:t>2. Финансовое обеспечение исполнения обязательств по договору (перечисление денежных средств) в размере не менее 3 %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sidRPr="00672281">
                    <w:rPr>
                      <w:rFonts w:ascii="Arial" w:eastAsia="Times New Roman" w:hAnsi="Arial" w:cs="Arial"/>
                      <w:sz w:val="18"/>
                      <w:szCs w:val="18"/>
                      <w:lang w:eastAsia="ru-RU"/>
                    </w:rPr>
                    <w:br/>
                    <w:t xml:space="preserve">3. При отклонении цены Участника от начальной (максимальной) цены договора (цены лота) более, чем на 20 % в сторону уменьшения, финансовое обеспечение исполнения обязательств по договору будет составлять 20 % от стоимости предложения с учетом налогов. </w:t>
                  </w:r>
                  <w:r w:rsidRPr="00672281">
                    <w:rPr>
                      <w:rFonts w:ascii="Arial" w:eastAsia="Times New Roman" w:hAnsi="Arial" w:cs="Arial"/>
                      <w:sz w:val="18"/>
                      <w:szCs w:val="18"/>
                      <w:lang w:eastAsia="ru-RU"/>
                    </w:rPr>
                    <w:br/>
                    <w:t>4.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672281">
                    <w:rPr>
                      <w:rFonts w:ascii="Arial" w:eastAsia="Times New Roman" w:hAnsi="Arial" w:cs="Arial"/>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ОАО «Россети» в информационно-телекоммуникационной сети Интернет </w:t>
                  </w:r>
                  <w:r w:rsidRPr="00672281">
                    <w:rPr>
                      <w:rFonts w:ascii="Arial" w:eastAsia="Times New Roman" w:hAnsi="Arial" w:cs="Arial"/>
                      <w:sz w:val="18"/>
                      <w:szCs w:val="18"/>
                      <w:lang w:eastAsia="ru-RU"/>
                    </w:rPr>
                    <w:br/>
                  </w:r>
                  <w:r w:rsidRPr="00672281">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«Россети» в информационно-телекоммуникационной сети Интернет.</w:t>
                  </w:r>
                  <w:r w:rsidRPr="00672281">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672281">
                    <w:rPr>
                      <w:rFonts w:ascii="Arial" w:eastAsia="Times New Roman" w:hAnsi="Arial" w:cs="Arial"/>
                      <w:sz w:val="18"/>
                      <w:szCs w:val="18"/>
                      <w:lang w:eastAsia="ru-RU"/>
                    </w:rPr>
                    <w:br/>
                    <w:t>5.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672281">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672281">
                    <w:rPr>
                      <w:rFonts w:ascii="Arial" w:eastAsia="Times New Roman" w:hAnsi="Arial" w:cs="Arial"/>
                      <w:sz w:val="18"/>
                      <w:szCs w:val="18"/>
                      <w:lang w:eastAsia="ru-RU"/>
                    </w:rPr>
                    <w:br/>
                    <w:t>6.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672281">
                    <w:rPr>
                      <w:rFonts w:ascii="Arial" w:eastAsia="Times New Roman" w:hAnsi="Arial" w:cs="Arial"/>
                      <w:sz w:val="18"/>
                      <w:szCs w:val="18"/>
                      <w:lang w:eastAsia="ru-RU"/>
                    </w:rPr>
                    <w:br/>
                  </w:r>
                  <w:r w:rsidRPr="00672281">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672281">
                    <w:rPr>
                      <w:rFonts w:ascii="Arial" w:eastAsia="Times New Roman" w:hAnsi="Arial" w:cs="Arial"/>
                      <w:sz w:val="18"/>
                      <w:szCs w:val="18"/>
                      <w:lang w:eastAsia="ru-RU"/>
                    </w:rPr>
                    <w:br/>
                    <w:t>7. Работы/услуги/поставки, выполняемые субподрядчиками/соисполнителями/ субпоставщиками не должны превышать 50% от общего объема работ</w:t>
                  </w:r>
                  <w:r w:rsidRPr="00672281">
                    <w:rPr>
                      <w:rFonts w:ascii="Arial" w:eastAsia="Times New Roman" w:hAnsi="Arial" w:cs="Arial"/>
                      <w:sz w:val="18"/>
                      <w:szCs w:val="18"/>
                      <w:lang w:eastAsia="ru-RU"/>
                    </w:rPr>
                    <w:br/>
                    <w:t>8. Участник должен обладать гражданской правоспособностью в полном объеме для заключения и исполнения Договора</w:t>
                  </w:r>
                  <w:r w:rsidRPr="00672281">
                    <w:rPr>
                      <w:rFonts w:ascii="Arial" w:eastAsia="Times New Roman" w:hAnsi="Arial" w:cs="Arial"/>
                      <w:sz w:val="18"/>
                      <w:szCs w:val="18"/>
                      <w:lang w:eastAsia="ru-RU"/>
                    </w:rPr>
                    <w:br/>
                    <w:t>9.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672281">
                    <w:rPr>
                      <w:rFonts w:ascii="Arial" w:eastAsia="Times New Roman" w:hAnsi="Arial" w:cs="Arial"/>
                      <w:sz w:val="18"/>
                      <w:szCs w:val="18"/>
                      <w:lang w:eastAsia="ru-RU"/>
                    </w:rPr>
                    <w:br/>
                    <w:t>10. Участник должен обладать необходимыми кадровыми ресурсами: см. приложение 1 к техническому заданию заказчика.</w:t>
                  </w:r>
                  <w:r w:rsidRPr="00672281">
                    <w:rPr>
                      <w:rFonts w:ascii="Arial" w:eastAsia="Times New Roman" w:hAnsi="Arial" w:cs="Arial"/>
                      <w:sz w:val="18"/>
                      <w:szCs w:val="18"/>
                      <w:lang w:eastAsia="ru-RU"/>
                    </w:rPr>
                    <w:br/>
                    <w:t>11. Кадровые ресурсы Участника, необходимые для выполнения работ по договору, должны удовлетворять требованиям ст. 10 Федерального Закона от 21.07.2011 г. № 256-ФЗ «О безопасности объектов топливно-энергетического комплекса»:</w:t>
                  </w:r>
                  <w:r w:rsidRPr="00672281">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672281">
                    <w:rPr>
                      <w:rFonts w:ascii="Arial" w:eastAsia="Times New Roman" w:hAnsi="Arial" w:cs="Arial"/>
                      <w:sz w:val="18"/>
                      <w:szCs w:val="18"/>
                      <w:lang w:eastAsia="ru-RU"/>
                    </w:rPr>
                    <w:br/>
                    <w:t xml:space="preserve">- не состоящие на учете в учреждениях органов здравоохранения по поводу </w:t>
                  </w:r>
                  <w:r w:rsidRPr="00672281">
                    <w:rPr>
                      <w:rFonts w:ascii="Arial" w:eastAsia="Times New Roman" w:hAnsi="Arial" w:cs="Arial"/>
                      <w:sz w:val="18"/>
                      <w:szCs w:val="18"/>
                      <w:lang w:eastAsia="ru-RU"/>
                    </w:rPr>
                    <w:lastRenderedPageBreak/>
                    <w:t>психического заболевания, алкоголизма или наркомании;</w:t>
                  </w:r>
                  <w:r w:rsidRPr="00672281">
                    <w:rPr>
                      <w:rFonts w:ascii="Arial" w:eastAsia="Times New Roman" w:hAnsi="Arial" w:cs="Arial"/>
                      <w:sz w:val="18"/>
                      <w:szCs w:val="18"/>
                      <w:lang w:eastAsia="ru-RU"/>
                    </w:rPr>
                    <w:br/>
                    <w:t>-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672281">
                    <w:rPr>
                      <w:rFonts w:ascii="Arial" w:eastAsia="Times New Roman" w:hAnsi="Arial" w:cs="Arial"/>
                      <w:sz w:val="18"/>
                      <w:szCs w:val="18"/>
                      <w:lang w:eastAsia="ru-RU"/>
                    </w:rPr>
                    <w:br/>
                    <w:t>12. Для выполнения работ по реконструкции ограждения и систем безопасности ПС 110/6 кВ Бензиновая, ПС 110/10 кВ Форпост филиала ОАО «Тюменьэнерго» Сургутские электрические сети, участник должен иметь Свидетельство о допуске к работам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III, п. 33, п.п. 33.4, Приказ №624 от 30.12.2009 г. Министерства регионального развития Российской федерации).</w:t>
                  </w:r>
                  <w:r w:rsidRPr="00672281">
                    <w:rPr>
                      <w:rFonts w:ascii="Arial" w:eastAsia="Times New Roman" w:hAnsi="Arial" w:cs="Arial"/>
                      <w:sz w:val="18"/>
                      <w:szCs w:val="18"/>
                      <w:lang w:eastAsia="ru-RU"/>
                    </w:rPr>
                    <w:br/>
                    <w:t>13. Участник должен обладать необходимыми основными машинами и механизмами: см. приложение 1 к техническому заданию заказчика.</w:t>
                  </w:r>
                  <w:r w:rsidRPr="00672281">
                    <w:rPr>
                      <w:rFonts w:ascii="Arial" w:eastAsia="Times New Roman" w:hAnsi="Arial" w:cs="Arial"/>
                      <w:sz w:val="18"/>
                      <w:szCs w:val="18"/>
                      <w:lang w:eastAsia="ru-RU"/>
                    </w:rPr>
                    <w:br/>
                    <w:t>14. Участник должен иметь устойчивое финансовое состояние.</w:t>
                  </w:r>
                  <w:r w:rsidRPr="00672281">
                    <w:rPr>
                      <w:rFonts w:ascii="Arial" w:eastAsia="Times New Roman" w:hAnsi="Arial" w:cs="Arial"/>
                      <w:sz w:val="18"/>
                      <w:szCs w:val="18"/>
                      <w:lang w:eastAsia="ru-RU"/>
                    </w:rPr>
                    <w:br/>
                    <w:t>15. Техническое и коммерческое предложения должны соответствовать требованиям Заказчика</w:t>
                  </w:r>
                  <w:r w:rsidRPr="00672281">
                    <w:rPr>
                      <w:rFonts w:ascii="Arial" w:eastAsia="Times New Roman" w:hAnsi="Arial" w:cs="Arial"/>
                      <w:sz w:val="18"/>
                      <w:szCs w:val="18"/>
                      <w:lang w:eastAsia="ru-RU"/>
                    </w:rPr>
                    <w:br/>
                    <w:t>16.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72281">
                    <w:rPr>
                      <w:rFonts w:ascii="Arial" w:eastAsia="Times New Roman" w:hAnsi="Arial" w:cs="Arial"/>
                      <w:sz w:val="18"/>
                      <w:szCs w:val="18"/>
                      <w:lang w:eastAsia="ru-RU"/>
                    </w:rPr>
                    <w:br/>
                    <w:t>17. Требования к благонадежности Участника, членам коллективного Участника, субподрядчика (соисполнителя/субпоставщика)</w:t>
                  </w:r>
                  <w:r w:rsidRPr="0067228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7228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7228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7228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72281">
                    <w:rPr>
                      <w:rFonts w:ascii="Arial" w:eastAsia="Times New Roman" w:hAnsi="Arial" w:cs="Arial"/>
                      <w:sz w:val="18"/>
                      <w:szCs w:val="18"/>
                      <w:lang w:eastAsia="ru-RU"/>
                    </w:rPr>
                    <w:br/>
                    <w:t>д) Участник не должен иметь задолженность по уплате налогов;</w:t>
                  </w:r>
                  <w:r w:rsidRPr="00672281">
                    <w:rPr>
                      <w:rFonts w:ascii="Arial" w:eastAsia="Times New Roman" w:hAnsi="Arial" w:cs="Arial"/>
                      <w:sz w:val="18"/>
                      <w:szCs w:val="18"/>
                      <w:lang w:eastAsia="ru-RU"/>
                    </w:rPr>
                    <w:br/>
                    <w:t>е) на имущество Участника не должен быть наложен арест;</w:t>
                  </w:r>
                  <w:r w:rsidRPr="0067228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7228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7228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672281">
                    <w:rPr>
                      <w:rFonts w:ascii="Arial" w:eastAsia="Times New Roman" w:hAnsi="Arial" w:cs="Arial"/>
                      <w:sz w:val="18"/>
                      <w:szCs w:val="18"/>
                      <w:lang w:eastAsia="ru-RU"/>
                    </w:rPr>
                    <w:br/>
                    <w:t>к) Участник не должен быть аффилирован к другим Участникам закупки;</w:t>
                  </w:r>
                  <w:r w:rsidRPr="0067228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7228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7228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72281">
                    <w:rPr>
                      <w:rFonts w:ascii="Arial" w:eastAsia="Times New Roman" w:hAnsi="Arial" w:cs="Arial"/>
                      <w:sz w:val="18"/>
                      <w:szCs w:val="18"/>
                      <w:lang w:eastAsia="ru-RU"/>
                    </w:rPr>
                    <w:br/>
                  </w:r>
                  <w:r w:rsidRPr="00672281">
                    <w:rPr>
                      <w:rFonts w:ascii="Arial" w:eastAsia="Times New Roman" w:hAnsi="Arial" w:cs="Arial"/>
                      <w:sz w:val="18"/>
                      <w:szCs w:val="18"/>
                      <w:lang w:eastAsia="ru-RU"/>
                    </w:rPr>
                    <w:br/>
                    <w:t xml:space="preserve">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w:t>
                  </w:r>
                  <w:r w:rsidRPr="00672281">
                    <w:rPr>
                      <w:rFonts w:ascii="Arial" w:eastAsia="Times New Roman" w:hAnsi="Arial" w:cs="Arial"/>
                      <w:sz w:val="18"/>
                      <w:szCs w:val="18"/>
                      <w:lang w:eastAsia="ru-RU"/>
                    </w:rPr>
                    <w:lastRenderedPageBreak/>
                    <w:t>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672281">
                    <w:rPr>
                      <w:rFonts w:ascii="Arial" w:eastAsia="Times New Roman" w:hAnsi="Arial" w:cs="Arial"/>
                      <w:sz w:val="18"/>
                      <w:szCs w:val="18"/>
                      <w:lang w:eastAsia="ru-RU"/>
                    </w:rPr>
                    <w:br/>
                    <w:t>18. В составе документов, подаваемых на этапе предквалификации, Участник должен предоставить 2 экземпляра подписанного соглашения об охране информации, составляющей коммерческую тайну, в соответствии с формой 11 (два экземпляра соглашения предоставляются на бумажном носителе, в отдельном конверте и не сшиваются с оригиналом конкурсной заявкой).</w:t>
                  </w:r>
                  <w:r w:rsidRPr="00672281">
                    <w:rPr>
                      <w:rFonts w:ascii="Arial" w:eastAsia="Times New Roman" w:hAnsi="Arial" w:cs="Arial"/>
                      <w:sz w:val="18"/>
                      <w:szCs w:val="18"/>
                      <w:lang w:eastAsia="ru-RU"/>
                    </w:rPr>
                    <w:br/>
                    <w:t xml:space="preserve">В случае непредоставления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 </w:t>
                  </w:r>
                  <w:r w:rsidRPr="00672281">
                    <w:rPr>
                      <w:rFonts w:ascii="Arial" w:eastAsia="Times New Roman" w:hAnsi="Arial" w:cs="Arial"/>
                      <w:sz w:val="18"/>
                      <w:szCs w:val="18"/>
                      <w:lang w:eastAsia="ru-RU"/>
                    </w:rPr>
                    <w:br/>
                    <w:t>19. 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"Тюменьэнерго"договора (ов).</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lastRenderedPageBreak/>
                    <w:t>Крайний срок подачи предквалификационных документов:</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b/>
                      <w:bCs/>
                      <w:sz w:val="18"/>
                      <w:szCs w:val="18"/>
                      <w:lang w:eastAsia="ru-RU"/>
                    </w:rPr>
                    <w:t>02.04.2015 15:00</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Предквалификационная документация:</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hyperlink r:id="rId19" w:tgtFrame="_blank" w:history="1">
                    <w:r w:rsidRPr="00672281">
                      <w:rPr>
                        <w:rFonts w:ascii="Arial" w:eastAsia="Times New Roman" w:hAnsi="Arial" w:cs="Arial"/>
                        <w:color w:val="1C50A4"/>
                        <w:sz w:val="18"/>
                        <w:szCs w:val="18"/>
                        <w:lang w:eastAsia="ru-RU"/>
                      </w:rPr>
                      <w:t xml:space="preserve">Скачать файл </w:t>
                    </w:r>
                    <w:r w:rsidRPr="00672281">
                      <w:rPr>
                        <w:rFonts w:ascii="Arial" w:eastAsia="Times New Roman" w:hAnsi="Arial" w:cs="Arial"/>
                        <w:b/>
                        <w:bCs/>
                        <w:color w:val="1C50A4"/>
                        <w:sz w:val="18"/>
                        <w:szCs w:val="18"/>
                        <w:lang w:eastAsia="ru-RU"/>
                      </w:rPr>
                      <w:t>КД Форпост, Бензиновая.7z</w:t>
                    </w:r>
                  </w:hyperlink>
                  <w:r w:rsidRPr="00672281">
                    <w:rPr>
                      <w:rFonts w:ascii="Arial" w:eastAsia="Times New Roman" w:hAnsi="Arial" w:cs="Arial"/>
                      <w:sz w:val="18"/>
                      <w:szCs w:val="18"/>
                      <w:lang w:eastAsia="ru-RU"/>
                    </w:rPr>
                    <w:t> (21.1 МБ)</w:t>
                  </w:r>
                </w:p>
                <w:p w:rsidR="00672281" w:rsidRPr="00672281" w:rsidRDefault="00672281" w:rsidP="00672281">
                  <w:pPr>
                    <w:spacing w:after="0" w:line="240" w:lineRule="auto"/>
                    <w:rPr>
                      <w:rFonts w:ascii="Arial" w:eastAsia="Times New Roman" w:hAnsi="Arial" w:cs="Arial"/>
                      <w:sz w:val="18"/>
                      <w:szCs w:val="18"/>
                      <w:lang w:eastAsia="ru-RU"/>
                    </w:rPr>
                  </w:pPr>
                  <w:hyperlink r:id="rId20" w:history="1">
                    <w:r w:rsidRPr="00672281">
                      <w:rPr>
                        <w:rFonts w:ascii="Arial" w:eastAsia="Times New Roman" w:hAnsi="Arial" w:cs="Arial"/>
                        <w:b/>
                        <w:bCs/>
                        <w:color w:val="1C50A4"/>
                        <w:sz w:val="18"/>
                        <w:szCs w:val="18"/>
                        <w:lang w:eastAsia="ru-RU"/>
                      </w:rPr>
                      <w:t>Редактировать предквалификационную документацию</w:t>
                    </w:r>
                  </w:hyperlink>
                  <w:r w:rsidRPr="00672281">
                    <w:rPr>
                      <w:rFonts w:ascii="Arial" w:eastAsia="Times New Roman" w:hAnsi="Arial" w:cs="Arial"/>
                      <w:sz w:val="18"/>
                      <w:szCs w:val="18"/>
                      <w:lang w:eastAsia="ru-RU"/>
                    </w:rPr>
                    <w:t xml:space="preserve"> </w:t>
                  </w:r>
                </w:p>
                <w:p w:rsidR="00672281" w:rsidRPr="00672281" w:rsidRDefault="00672281" w:rsidP="00672281">
                  <w:pPr>
                    <w:spacing w:after="0" w:line="240" w:lineRule="auto"/>
                    <w:rPr>
                      <w:rFonts w:ascii="Arial" w:eastAsia="Times New Roman" w:hAnsi="Arial" w:cs="Arial"/>
                      <w:sz w:val="18"/>
                      <w:szCs w:val="18"/>
                      <w:lang w:eastAsia="ru-RU"/>
                    </w:rPr>
                  </w:pPr>
                  <w:hyperlink r:id="rId21" w:tgtFrame="signature" w:history="1">
                    <w:r w:rsidRPr="00672281">
                      <w:rPr>
                        <w:rFonts w:ascii="Arial" w:eastAsia="Times New Roman" w:hAnsi="Arial" w:cs="Arial"/>
                        <w:color w:val="1C50A4"/>
                        <w:sz w:val="18"/>
                        <w:szCs w:val="18"/>
                        <w:lang w:eastAsia="ru-RU"/>
                      </w:rPr>
                      <w:t>Подписана ЭП</w:t>
                    </w:r>
                  </w:hyperlink>
                </w:p>
                <w:p w:rsidR="00672281" w:rsidRPr="00672281" w:rsidRDefault="00672281" w:rsidP="00672281">
                  <w:pPr>
                    <w:spacing w:after="0" w:line="240" w:lineRule="auto"/>
                    <w:rPr>
                      <w:rFonts w:ascii="Arial" w:eastAsia="Times New Roman" w:hAnsi="Arial" w:cs="Arial"/>
                      <w:sz w:val="18"/>
                      <w:szCs w:val="18"/>
                      <w:lang w:eastAsia="ru-RU"/>
                    </w:rPr>
                  </w:pPr>
                  <w:hyperlink r:id="rId22" w:history="1">
                    <w:r w:rsidRPr="00672281">
                      <w:rPr>
                        <w:rFonts w:ascii="Arial" w:eastAsia="Times New Roman" w:hAnsi="Arial" w:cs="Arial"/>
                        <w:color w:val="1C50A4"/>
                        <w:sz w:val="18"/>
                        <w:szCs w:val="18"/>
                        <w:lang w:eastAsia="ru-RU"/>
                      </w:rPr>
                      <w:t>Перевести документацию на другой язык</w:t>
                    </w:r>
                  </w:hyperlink>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Конкурсная документация:</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hyperlink r:id="rId23" w:tgtFrame="_blank" w:history="1">
                    <w:r w:rsidRPr="00672281">
                      <w:rPr>
                        <w:rFonts w:ascii="Arial" w:eastAsia="Times New Roman" w:hAnsi="Arial" w:cs="Arial"/>
                        <w:color w:val="1C50A4"/>
                        <w:sz w:val="18"/>
                        <w:szCs w:val="18"/>
                        <w:lang w:eastAsia="ru-RU"/>
                      </w:rPr>
                      <w:t xml:space="preserve">Скачать файл </w:t>
                    </w:r>
                    <w:r w:rsidRPr="00672281">
                      <w:rPr>
                        <w:rFonts w:ascii="Arial" w:eastAsia="Times New Roman" w:hAnsi="Arial" w:cs="Arial"/>
                        <w:b/>
                        <w:bCs/>
                        <w:color w:val="1C50A4"/>
                        <w:sz w:val="18"/>
                        <w:szCs w:val="18"/>
                        <w:lang w:eastAsia="ru-RU"/>
                      </w:rPr>
                      <w:t>КД Форпост, Бензиновая.7z</w:t>
                    </w:r>
                  </w:hyperlink>
                  <w:r w:rsidRPr="00672281">
                    <w:rPr>
                      <w:rFonts w:ascii="Arial" w:eastAsia="Times New Roman" w:hAnsi="Arial" w:cs="Arial"/>
                      <w:sz w:val="18"/>
                      <w:szCs w:val="18"/>
                      <w:lang w:eastAsia="ru-RU"/>
                    </w:rPr>
                    <w:t> (21.1 МБ)</w:t>
                  </w:r>
                </w:p>
                <w:p w:rsidR="00672281" w:rsidRPr="00672281" w:rsidRDefault="00672281" w:rsidP="00672281">
                  <w:pPr>
                    <w:spacing w:after="0" w:line="240" w:lineRule="auto"/>
                    <w:rPr>
                      <w:rFonts w:ascii="Arial" w:eastAsia="Times New Roman" w:hAnsi="Arial" w:cs="Arial"/>
                      <w:sz w:val="18"/>
                      <w:szCs w:val="18"/>
                      <w:lang w:eastAsia="ru-RU"/>
                    </w:rPr>
                  </w:pPr>
                  <w:hyperlink r:id="rId24" w:history="1">
                    <w:r w:rsidRPr="00672281">
                      <w:rPr>
                        <w:rFonts w:ascii="Arial" w:eastAsia="Times New Roman" w:hAnsi="Arial" w:cs="Arial"/>
                        <w:b/>
                        <w:bCs/>
                        <w:color w:val="1C50A4"/>
                        <w:sz w:val="18"/>
                        <w:szCs w:val="18"/>
                        <w:lang w:eastAsia="ru-RU"/>
                      </w:rPr>
                      <w:t>Редактировать конкурсную документацию</w:t>
                    </w:r>
                  </w:hyperlink>
                  <w:r w:rsidRPr="00672281">
                    <w:rPr>
                      <w:rFonts w:ascii="Arial" w:eastAsia="Times New Roman" w:hAnsi="Arial" w:cs="Arial"/>
                      <w:sz w:val="18"/>
                      <w:szCs w:val="18"/>
                      <w:lang w:eastAsia="ru-RU"/>
                    </w:rPr>
                    <w:t xml:space="preserve"> </w:t>
                  </w:r>
                </w:p>
                <w:p w:rsidR="00672281" w:rsidRPr="00672281" w:rsidRDefault="00672281" w:rsidP="00672281">
                  <w:pPr>
                    <w:spacing w:after="0" w:line="240" w:lineRule="auto"/>
                    <w:rPr>
                      <w:rFonts w:ascii="Arial" w:eastAsia="Times New Roman" w:hAnsi="Arial" w:cs="Arial"/>
                      <w:sz w:val="18"/>
                      <w:szCs w:val="18"/>
                      <w:lang w:eastAsia="ru-RU"/>
                    </w:rPr>
                  </w:pPr>
                  <w:hyperlink r:id="rId25" w:tgtFrame="signature" w:history="1">
                    <w:r w:rsidRPr="00672281">
                      <w:rPr>
                        <w:rFonts w:ascii="Arial" w:eastAsia="Times New Roman" w:hAnsi="Arial" w:cs="Arial"/>
                        <w:color w:val="1C50A4"/>
                        <w:sz w:val="18"/>
                        <w:szCs w:val="18"/>
                        <w:lang w:eastAsia="ru-RU"/>
                      </w:rPr>
                      <w:t>Подписана ЭП</w:t>
                    </w:r>
                  </w:hyperlink>
                </w:p>
                <w:p w:rsidR="00672281" w:rsidRPr="00672281" w:rsidRDefault="00672281" w:rsidP="00672281">
                  <w:pPr>
                    <w:spacing w:after="0" w:line="240" w:lineRule="auto"/>
                    <w:rPr>
                      <w:rFonts w:ascii="Arial" w:eastAsia="Times New Roman" w:hAnsi="Arial" w:cs="Arial"/>
                      <w:sz w:val="18"/>
                      <w:szCs w:val="18"/>
                      <w:lang w:eastAsia="ru-RU"/>
                    </w:rPr>
                  </w:pPr>
                  <w:hyperlink r:id="rId26" w:history="1">
                    <w:r w:rsidRPr="00672281">
                      <w:rPr>
                        <w:rFonts w:ascii="Arial" w:eastAsia="Times New Roman" w:hAnsi="Arial" w:cs="Arial"/>
                        <w:color w:val="1C50A4"/>
                        <w:sz w:val="18"/>
                        <w:szCs w:val="18"/>
                        <w:lang w:eastAsia="ru-RU"/>
                      </w:rPr>
                      <w:t>Перевести документацию на другой язык</w:t>
                    </w:r>
                  </w:hyperlink>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672281">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 Факт внесения Участником задатка в качестве обеспечения участия в процедуре открытого конкурса подтверждается платежным поручением (квитанцией в случае наличной формы оплаты) с отметкой банка об оплате.</w:t>
                  </w:r>
                  <w:r w:rsidRPr="00672281">
                    <w:rPr>
                      <w:rFonts w:ascii="Arial" w:eastAsia="Times New Roman" w:hAnsi="Arial" w:cs="Arial"/>
                      <w:sz w:val="18"/>
                      <w:szCs w:val="18"/>
                      <w:lang w:eastAsia="ru-RU"/>
                    </w:rPr>
                    <w:br/>
                    <w:t>Денежные средства Участника процедуры открытого конкурса, признанного Победителем, перечисленные в качестве обеспечения участия в процедуре открытого конкурса, засчитываются как финансовое обеспечение исполнения обязательств Победителя по Договору.</w:t>
                  </w:r>
                  <w:r w:rsidRPr="00672281">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Конкурсные заявки:</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w:t>
                  </w:r>
                  <w:r w:rsidRPr="00672281">
                    <w:rPr>
                      <w:rFonts w:ascii="Arial" w:eastAsia="Times New Roman" w:hAnsi="Arial" w:cs="Arial"/>
                      <w:sz w:val="18"/>
                      <w:szCs w:val="18"/>
                      <w:lang w:eastAsia="ru-RU"/>
                    </w:rPr>
                    <w:lastRenderedPageBreak/>
                    <w:t>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Цена с НДС</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Место вскрытия конвертов:</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 xml:space="preserve">Вскрытие конвертов с заявками состоится </w:t>
                  </w:r>
                  <w:r w:rsidRPr="00672281">
                    <w:rPr>
                      <w:rFonts w:ascii="Arial" w:eastAsia="Times New Roman" w:hAnsi="Arial" w:cs="Arial"/>
                      <w:b/>
                      <w:bCs/>
                      <w:sz w:val="18"/>
                      <w:szCs w:val="18"/>
                      <w:lang w:eastAsia="ru-RU"/>
                    </w:rPr>
                    <w:t>30.04.2015 в 12:00 по московскому времени</w:t>
                  </w:r>
                  <w:r w:rsidRPr="00672281">
                    <w:rPr>
                      <w:rFonts w:ascii="Arial" w:eastAsia="Times New Roman" w:hAnsi="Arial" w:cs="Arial"/>
                      <w:sz w:val="18"/>
                      <w:szCs w:val="18"/>
                      <w:lang w:eastAsia="ru-RU"/>
                    </w:rPr>
                    <w:t>.</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15.05.2015 15:00</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628403, Россия, Ханты-Мансийский Автономный округ - Югра, г. Сургут, ул. 30 лет Победы, д. 30, каб. 407</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22.05.2015 15:00</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Место подведения итогов:</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628403, Россия, Ханты-Мансийский Автономный округ - Югра, г. Сургут, ул. 30 лет Победы, д. 30, каб. 407</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Лот № 1. 16 482 093,23 руб. (цена с НДС)</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Да</w: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67228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72281">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672281">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7228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72281" w:rsidRPr="00672281">
              <w:trPr>
                <w:tblCellSpacing w:w="0" w:type="dxa"/>
              </w:trPr>
              <w:tc>
                <w:tcPr>
                  <w:tcW w:w="0" w:type="auto"/>
                  <w:shd w:val="clear" w:color="auto" w:fill="F7F7F7"/>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 xml:space="preserve">Адреса указаны в Техническом задании </w:t>
                  </w:r>
                  <w:r w:rsidRPr="00672281">
                    <w:rPr>
                      <w:rFonts w:ascii="Arial" w:eastAsia="Times New Roman" w:hAnsi="Arial" w:cs="Arial"/>
                      <w:sz w:val="18"/>
                      <w:szCs w:val="18"/>
                      <w:lang w:eastAsia="ru-RU"/>
                    </w:rPr>
                    <w:pict/>
                  </w:r>
                </w:p>
              </w:tc>
            </w:tr>
            <w:tr w:rsidR="00672281" w:rsidRPr="00672281">
              <w:trPr>
                <w:tblCellSpacing w:w="0" w:type="dxa"/>
              </w:trPr>
              <w:tc>
                <w:tcPr>
                  <w:tcW w:w="0" w:type="auto"/>
                  <w:shd w:val="clear" w:color="auto" w:fill="E9E9E9"/>
                  <w:hideMark/>
                </w:tcPr>
                <w:p w:rsidR="00672281" w:rsidRPr="00672281" w:rsidRDefault="00672281" w:rsidP="00672281">
                  <w:pPr>
                    <w:spacing w:after="0" w:line="240" w:lineRule="auto"/>
                    <w:jc w:val="right"/>
                    <w:rPr>
                      <w:rFonts w:ascii="Arial" w:eastAsia="Times New Roman" w:hAnsi="Arial" w:cs="Arial"/>
                      <w:sz w:val="18"/>
                      <w:szCs w:val="18"/>
                      <w:lang w:eastAsia="ru-RU"/>
                    </w:rPr>
                  </w:pPr>
                  <w:r w:rsidRPr="00672281">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7"/>
                    <w:gridCol w:w="3277"/>
                  </w:tblGrid>
                  <w:tr w:rsidR="00672281" w:rsidRPr="00672281">
                    <w:trPr>
                      <w:tblCellSpacing w:w="15" w:type="dxa"/>
                    </w:trPr>
                    <w:tc>
                      <w:tcPr>
                        <w:tcW w:w="3750" w:type="dxa"/>
                        <w:tcMar>
                          <w:top w:w="45" w:type="dxa"/>
                          <w:left w:w="45" w:type="dxa"/>
                          <w:bottom w:w="45" w:type="dxa"/>
                          <w:right w:w="45" w:type="dxa"/>
                        </w:tcMar>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pict/>
                        </w:r>
                        <w:r w:rsidRPr="00672281">
                          <w:rPr>
                            <w:rFonts w:ascii="Arial" w:eastAsia="Times New Roman" w:hAnsi="Arial" w:cs="Arial"/>
                            <w:b/>
                            <w:bCs/>
                            <w:sz w:val="18"/>
                            <w:szCs w:val="18"/>
                            <w:lang w:eastAsia="ru-RU"/>
                          </w:rPr>
                          <w:t>Извещение [</w:t>
                        </w:r>
                        <w:hyperlink r:id="rId27" w:history="1">
                          <w:r w:rsidRPr="00672281">
                            <w:rPr>
                              <w:rFonts w:ascii="Arial" w:eastAsia="Times New Roman" w:hAnsi="Arial" w:cs="Arial"/>
                              <w:b/>
                              <w:bCs/>
                              <w:color w:val="1C50A4"/>
                              <w:sz w:val="18"/>
                              <w:szCs w:val="18"/>
                              <w:lang w:eastAsia="ru-RU"/>
                            </w:rPr>
                            <w:t>XML</w:t>
                          </w:r>
                        </w:hyperlink>
                        <w:r w:rsidRPr="00672281">
                          <w:rPr>
                            <w:rFonts w:ascii="Arial" w:eastAsia="Times New Roman" w:hAnsi="Arial" w:cs="Arial"/>
                            <w:b/>
                            <w:bCs/>
                            <w:sz w:val="18"/>
                            <w:szCs w:val="18"/>
                            <w:lang w:eastAsia="ru-RU"/>
                          </w:rPr>
                          <w:t xml:space="preserve">] </w:t>
                        </w:r>
                      </w:p>
                      <w:p w:rsidR="00672281" w:rsidRPr="00672281" w:rsidRDefault="00672281" w:rsidP="00672281">
                        <w:pPr>
                          <w:spacing w:before="100" w:beforeAutospacing="1" w:after="100" w:afterAutospacing="1"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Процедура еще не была выгружена.</w:t>
                        </w:r>
                        <w:r w:rsidRPr="00672281">
                          <w:rPr>
                            <w:rFonts w:ascii="Arial" w:eastAsia="Times New Roman" w:hAnsi="Arial" w:cs="Arial"/>
                            <w:sz w:val="18"/>
                            <w:szCs w:val="18"/>
                            <w:lang w:eastAsia="ru-RU"/>
                          </w:rPr>
                          <w:br/>
                        </w:r>
                        <w:r w:rsidRPr="00672281">
                          <w:rPr>
                            <w:rFonts w:ascii="Arial" w:eastAsia="Times New Roman" w:hAnsi="Arial" w:cs="Arial"/>
                            <w:color w:val="CC9300"/>
                            <w:sz w:val="18"/>
                            <w:szCs w:val="18"/>
                            <w:lang w:eastAsia="ru-RU"/>
                          </w:rPr>
                          <w:t>Ожидает выгрузки в очереди.</w:t>
                        </w:r>
                        <w:r w:rsidRPr="00672281">
                          <w:rPr>
                            <w:rFonts w:ascii="Arial" w:eastAsia="Times New Roman" w:hAnsi="Arial" w:cs="Arial"/>
                            <w:sz w:val="18"/>
                            <w:szCs w:val="18"/>
                            <w:lang w:eastAsia="ru-RU"/>
                          </w:rPr>
                          <w:br/>
                        </w:r>
                        <w:r w:rsidRPr="00672281">
                          <w:rPr>
                            <w:rFonts w:ascii="Arial" w:eastAsia="Times New Roman" w:hAnsi="Arial" w:cs="Arial"/>
                            <w:color w:val="FF0000"/>
                            <w:sz w:val="18"/>
                            <w:szCs w:val="18"/>
                            <w:lang w:eastAsia="ru-RU"/>
                          </w:rPr>
                          <w:t>Процедуру невозможно выгрузить, так как для нее не задан код способа закупки.</w:t>
                        </w:r>
                      </w:p>
                    </w:tc>
                    <w:tc>
                      <w:tcPr>
                        <w:tcW w:w="3750" w:type="dxa"/>
                        <w:tcMar>
                          <w:top w:w="45" w:type="dxa"/>
                          <w:left w:w="45" w:type="dxa"/>
                          <w:bottom w:w="45" w:type="dxa"/>
                          <w:right w:w="45" w:type="dxa"/>
                        </w:tcMar>
                        <w:hideMark/>
                      </w:tcPr>
                      <w:p w:rsidR="00672281" w:rsidRPr="00672281" w:rsidRDefault="00672281" w:rsidP="00672281">
                        <w:pPr>
                          <w:spacing w:after="0" w:line="240" w:lineRule="auto"/>
                          <w:rPr>
                            <w:rFonts w:ascii="Arial" w:eastAsia="Times New Roman" w:hAnsi="Arial" w:cs="Arial"/>
                            <w:sz w:val="18"/>
                            <w:szCs w:val="18"/>
                            <w:lang w:eastAsia="ru-RU"/>
                          </w:rPr>
                        </w:pPr>
                        <w:r w:rsidRPr="00672281">
                          <w:rPr>
                            <w:rFonts w:ascii="Arial" w:eastAsia="Times New Roman" w:hAnsi="Arial" w:cs="Arial"/>
                            <w:b/>
                            <w:bCs/>
                            <w:sz w:val="18"/>
                            <w:szCs w:val="18"/>
                            <w:lang w:eastAsia="ru-RU"/>
                          </w:rPr>
                          <w:t>Протоколы</w:t>
                        </w:r>
                        <w:r w:rsidRPr="00672281">
                          <w:rPr>
                            <w:rFonts w:ascii="Arial" w:eastAsia="Times New Roman" w:hAnsi="Arial" w:cs="Arial"/>
                            <w:sz w:val="18"/>
                            <w:szCs w:val="18"/>
                            <w:lang w:eastAsia="ru-RU"/>
                          </w:rPr>
                          <w:t xml:space="preserve"> </w:t>
                        </w:r>
                      </w:p>
                      <w:p w:rsidR="00672281" w:rsidRPr="00672281" w:rsidRDefault="00672281" w:rsidP="00672281">
                        <w:pPr>
                          <w:spacing w:before="100" w:beforeAutospacing="1" w:after="100" w:afterAutospacing="1" w:line="240" w:lineRule="auto"/>
                          <w:rPr>
                            <w:rFonts w:ascii="Arial" w:eastAsia="Times New Roman" w:hAnsi="Arial" w:cs="Arial"/>
                            <w:sz w:val="18"/>
                            <w:szCs w:val="18"/>
                            <w:lang w:eastAsia="ru-RU"/>
                          </w:rPr>
                        </w:pPr>
                        <w:r w:rsidRPr="00672281">
                          <w:rPr>
                            <w:rFonts w:ascii="Arial" w:eastAsia="Times New Roman" w:hAnsi="Arial" w:cs="Arial"/>
                            <w:sz w:val="18"/>
                            <w:szCs w:val="18"/>
                            <w:lang w:eastAsia="ru-RU"/>
                          </w:rPr>
                          <w:t>Протоколы отсутствуют</w:t>
                        </w:r>
                      </w:p>
                    </w:tc>
                  </w:tr>
                </w:tbl>
                <w:p w:rsidR="00672281" w:rsidRPr="00672281" w:rsidRDefault="00672281" w:rsidP="00672281">
                  <w:pPr>
                    <w:spacing w:after="0" w:line="240" w:lineRule="auto"/>
                    <w:rPr>
                      <w:rFonts w:ascii="Arial" w:eastAsia="Times New Roman" w:hAnsi="Arial" w:cs="Arial"/>
                      <w:sz w:val="18"/>
                      <w:szCs w:val="18"/>
                      <w:lang w:eastAsia="ru-RU"/>
                    </w:rPr>
                  </w:pPr>
                </w:p>
              </w:tc>
            </w:tr>
          </w:tbl>
          <w:p w:rsidR="00672281" w:rsidRPr="00672281" w:rsidRDefault="00672281" w:rsidP="00672281">
            <w:pPr>
              <w:spacing w:after="0" w:line="240" w:lineRule="auto"/>
              <w:rPr>
                <w:rFonts w:ascii="Arial" w:eastAsia="Times New Roman" w:hAnsi="Arial" w:cs="Arial"/>
                <w:sz w:val="18"/>
                <w:szCs w:val="18"/>
                <w:lang w:eastAsia="ru-RU"/>
              </w:rPr>
            </w:pPr>
          </w:p>
        </w:tc>
      </w:tr>
    </w:tbl>
    <w:p w:rsidR="00D23FC7" w:rsidRDefault="00D23FC7">
      <w:bookmarkStart w:id="0" w:name="_GoBack"/>
      <w:bookmarkEnd w:id="0"/>
    </w:p>
    <w:sectPr w:rsidR="00D2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81"/>
    <w:rsid w:val="00672281"/>
    <w:rsid w:val="00D23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D7EAA-F20B-40B3-9F50-B37A2A76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4909">
      <w:bodyDiv w:val="1"/>
      <w:marLeft w:val="0"/>
      <w:marRight w:val="0"/>
      <w:marTop w:val="0"/>
      <w:marBottom w:val="0"/>
      <w:divBdr>
        <w:top w:val="none" w:sz="0" w:space="0" w:color="auto"/>
        <w:left w:val="none" w:sz="0" w:space="0" w:color="auto"/>
        <w:bottom w:val="none" w:sz="0" w:space="0" w:color="auto"/>
        <w:right w:val="none" w:sz="0" w:space="0" w:color="auto"/>
      </w:divBdr>
      <w:divsChild>
        <w:div w:id="895093416">
          <w:marLeft w:val="0"/>
          <w:marRight w:val="0"/>
          <w:marTop w:val="0"/>
          <w:marBottom w:val="0"/>
          <w:divBdr>
            <w:top w:val="none" w:sz="0" w:space="0" w:color="auto"/>
            <w:left w:val="none" w:sz="0" w:space="0" w:color="auto"/>
            <w:bottom w:val="none" w:sz="0" w:space="0" w:color="auto"/>
            <w:right w:val="none" w:sz="0" w:space="0" w:color="auto"/>
          </w:divBdr>
        </w:div>
        <w:div w:id="1493913123">
          <w:marLeft w:val="0"/>
          <w:marRight w:val="15"/>
          <w:marTop w:val="0"/>
          <w:marBottom w:val="30"/>
          <w:divBdr>
            <w:top w:val="none" w:sz="0" w:space="0" w:color="auto"/>
            <w:left w:val="none" w:sz="0" w:space="0" w:color="auto"/>
            <w:bottom w:val="none" w:sz="0" w:space="0" w:color="auto"/>
            <w:right w:val="none" w:sz="0" w:space="0" w:color="auto"/>
          </w:divBdr>
        </w:div>
        <w:div w:id="885602494">
          <w:marLeft w:val="0"/>
          <w:marRight w:val="15"/>
          <w:marTop w:val="0"/>
          <w:marBottom w:val="30"/>
          <w:divBdr>
            <w:top w:val="none" w:sz="0" w:space="0" w:color="auto"/>
            <w:left w:val="none" w:sz="0" w:space="0" w:color="auto"/>
            <w:bottom w:val="none" w:sz="0" w:space="0" w:color="auto"/>
            <w:right w:val="none" w:sz="0" w:space="0" w:color="auto"/>
          </w:divBdr>
        </w:div>
        <w:div w:id="1497109453">
          <w:marLeft w:val="0"/>
          <w:marRight w:val="15"/>
          <w:marTop w:val="0"/>
          <w:marBottom w:val="30"/>
          <w:divBdr>
            <w:top w:val="none" w:sz="0" w:space="0" w:color="auto"/>
            <w:left w:val="none" w:sz="0" w:space="0" w:color="auto"/>
            <w:bottom w:val="none" w:sz="0" w:space="0" w:color="auto"/>
            <w:right w:val="none" w:sz="0" w:space="0" w:color="auto"/>
          </w:divBdr>
        </w:div>
        <w:div w:id="1065954270">
          <w:marLeft w:val="0"/>
          <w:marRight w:val="15"/>
          <w:marTop w:val="0"/>
          <w:marBottom w:val="30"/>
          <w:divBdr>
            <w:top w:val="none" w:sz="0" w:space="0" w:color="auto"/>
            <w:left w:val="none" w:sz="0" w:space="0" w:color="auto"/>
            <w:bottom w:val="none" w:sz="0" w:space="0" w:color="auto"/>
            <w:right w:val="none" w:sz="0" w:space="0" w:color="auto"/>
          </w:divBdr>
        </w:div>
        <w:div w:id="2092850856">
          <w:marLeft w:val="0"/>
          <w:marRight w:val="15"/>
          <w:marTop w:val="0"/>
          <w:marBottom w:val="30"/>
          <w:divBdr>
            <w:top w:val="none" w:sz="0" w:space="0" w:color="auto"/>
            <w:left w:val="none" w:sz="0" w:space="0" w:color="auto"/>
            <w:bottom w:val="none" w:sz="0" w:space="0" w:color="auto"/>
            <w:right w:val="none" w:sz="0" w:space="0" w:color="auto"/>
          </w:divBdr>
        </w:div>
        <w:div w:id="640842069">
          <w:marLeft w:val="0"/>
          <w:marRight w:val="0"/>
          <w:marTop w:val="0"/>
          <w:marBottom w:val="0"/>
          <w:divBdr>
            <w:top w:val="none" w:sz="0" w:space="0" w:color="auto"/>
            <w:left w:val="none" w:sz="0" w:space="0" w:color="auto"/>
            <w:bottom w:val="none" w:sz="0" w:space="0" w:color="auto"/>
            <w:right w:val="none" w:sz="0" w:space="0" w:color="auto"/>
          </w:divBdr>
          <w:divsChild>
            <w:div w:id="614366705">
              <w:marLeft w:val="0"/>
              <w:marRight w:val="0"/>
              <w:marTop w:val="0"/>
              <w:marBottom w:val="0"/>
              <w:divBdr>
                <w:top w:val="none" w:sz="0" w:space="0" w:color="auto"/>
                <w:left w:val="none" w:sz="0" w:space="0" w:color="auto"/>
                <w:bottom w:val="none" w:sz="0" w:space="0" w:color="auto"/>
                <w:right w:val="none" w:sz="0" w:space="0" w:color="auto"/>
              </w:divBdr>
            </w:div>
          </w:divsChild>
        </w:div>
        <w:div w:id="1549490727">
          <w:marLeft w:val="0"/>
          <w:marRight w:val="0"/>
          <w:marTop w:val="0"/>
          <w:marBottom w:val="0"/>
          <w:divBdr>
            <w:top w:val="none" w:sz="0" w:space="0" w:color="auto"/>
            <w:left w:val="none" w:sz="0" w:space="0" w:color="auto"/>
            <w:bottom w:val="none" w:sz="0" w:space="0" w:color="auto"/>
            <w:right w:val="none" w:sz="0" w:space="0" w:color="auto"/>
          </w:divBdr>
        </w:div>
        <w:div w:id="1024356669">
          <w:marLeft w:val="0"/>
          <w:marRight w:val="0"/>
          <w:marTop w:val="0"/>
          <w:marBottom w:val="0"/>
          <w:divBdr>
            <w:top w:val="none" w:sz="0" w:space="0" w:color="auto"/>
            <w:left w:val="none" w:sz="0" w:space="0" w:color="auto"/>
            <w:bottom w:val="none" w:sz="0" w:space="0" w:color="auto"/>
            <w:right w:val="none" w:sz="0" w:space="0" w:color="auto"/>
          </w:divBdr>
        </w:div>
        <w:div w:id="1478105429">
          <w:marLeft w:val="0"/>
          <w:marRight w:val="0"/>
          <w:marTop w:val="0"/>
          <w:marBottom w:val="0"/>
          <w:divBdr>
            <w:top w:val="none" w:sz="0" w:space="0" w:color="auto"/>
            <w:left w:val="none" w:sz="0" w:space="0" w:color="auto"/>
            <w:bottom w:val="none" w:sz="0" w:space="0" w:color="auto"/>
            <w:right w:val="none" w:sz="0" w:space="0" w:color="auto"/>
          </w:divBdr>
        </w:div>
        <w:div w:id="1557739222">
          <w:marLeft w:val="0"/>
          <w:marRight w:val="0"/>
          <w:marTop w:val="0"/>
          <w:marBottom w:val="0"/>
          <w:divBdr>
            <w:top w:val="none" w:sz="0" w:space="0" w:color="auto"/>
            <w:left w:val="none" w:sz="0" w:space="0" w:color="auto"/>
            <w:bottom w:val="none" w:sz="0" w:space="0" w:color="auto"/>
            <w:right w:val="none" w:sz="0" w:space="0" w:color="auto"/>
          </w:divBdr>
        </w:div>
        <w:div w:id="1079793118">
          <w:marLeft w:val="0"/>
          <w:marRight w:val="0"/>
          <w:marTop w:val="0"/>
          <w:marBottom w:val="0"/>
          <w:divBdr>
            <w:top w:val="none" w:sz="0" w:space="0" w:color="auto"/>
            <w:left w:val="none" w:sz="0" w:space="0" w:color="auto"/>
            <w:bottom w:val="none" w:sz="0" w:space="0" w:color="auto"/>
            <w:right w:val="none" w:sz="0" w:space="0" w:color="auto"/>
          </w:divBdr>
        </w:div>
        <w:div w:id="134227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430&amp;action=send_letters" TargetMode="External"/><Relationship Id="rId13" Type="http://schemas.openxmlformats.org/officeDocument/2006/relationships/hyperlink" Target="http://www.b2b-mrsk.ru/market/list_tenders.html?open=1&amp;all=0&amp;cat_id=64540322" TargetMode="External"/><Relationship Id="rId18" Type="http://schemas.openxmlformats.org/officeDocument/2006/relationships/hyperlink" Target="mailto:zakupki@sures.te.ru"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44430&amp;action=signed_doc&amp;key=qdocs" TargetMode="External"/><Relationship Id="rId7" Type="http://schemas.openxmlformats.org/officeDocument/2006/relationships/hyperlink" Target="http://www.b2b-mrsk.ru/market/view_tender.html?id=44430&amp;action=invitations" TargetMode="External"/><Relationship Id="rId12" Type="http://schemas.openxmlformats.org/officeDocument/2006/relationships/hyperlink" Target="http://www.b2b-mrsk.ru/market/list_tenders.html?open=1&amp;all=0&amp;cat_id=64520108" TargetMode="External"/><Relationship Id="rId17" Type="http://schemas.openxmlformats.org/officeDocument/2006/relationships/hyperlink" Target="http://www.b2b-mrsk.ru/popups/send_message.html?action=send&amp;to=121939&amp;subject=%D0%92%D0%BE%D0%BF%D1%80%D0%BE%D1%81+%D0%BF%D0%BE+%D0%BA%D0%BE%D0%BD%D0%BA%D1%83%D1%80%D1%81%D1%83+%E2%84%96+44430" TargetMode="External"/><Relationship Id="rId25" Type="http://schemas.openxmlformats.org/officeDocument/2006/relationships/hyperlink" Target="http://www.b2b-mrsk.ru/market/view_tender.html?id=44430&amp;action=signed_doc&amp;key=docs"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market/edit_tender.html?id=44430&amp;action=q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4430&amp;action=explanation" TargetMode="External"/><Relationship Id="rId11" Type="http://schemas.openxmlformats.org/officeDocument/2006/relationships/hyperlink" Target="http://www.b2b-mrsk.ru/market/list_tenders.html?open=1&amp;all=0&amp;cat_id=43697505" TargetMode="External"/><Relationship Id="rId24" Type="http://schemas.openxmlformats.org/officeDocument/2006/relationships/hyperlink" Target="http://www.b2b-mrsk.ru/market/edit_tender.html?id=44430&amp;action=docs" TargetMode="External"/><Relationship Id="rId5" Type="http://schemas.openxmlformats.org/officeDocument/2006/relationships/hyperlink" Target="http://www.b2b-mrsk.ru/market/view_tender.html?id=44430&amp;show=lots" TargetMode="External"/><Relationship Id="rId15" Type="http://schemas.openxmlformats.org/officeDocument/2006/relationships/image" Target="media/image1.wmf"/><Relationship Id="rId23" Type="http://schemas.openxmlformats.org/officeDocument/2006/relationships/hyperlink" Target="http://www.b2b-mrsk.ru/download.html?file=file%2F15179913.7z&amp;title=%D0%9A%D0%94+%D0%A4%D0%BE%D1%80%D0%BF%D0%BE%D1%81%D1%82%2C+%D0%91%D0%B5%D0%BD%D0%B7%D0%B8%D0%BD%D0%BE%D0%B2%D0%B0%D1%8F.7z" TargetMode="External"/><Relationship Id="rId28" Type="http://schemas.openxmlformats.org/officeDocument/2006/relationships/fontTable" Target="fontTable.xml"/><Relationship Id="rId10" Type="http://schemas.openxmlformats.org/officeDocument/2006/relationships/hyperlink" Target="http://www.b2b-mrsk.ru/firms/view_firm.html?id=102382" TargetMode="External"/><Relationship Id="rId19" Type="http://schemas.openxmlformats.org/officeDocument/2006/relationships/hyperlink" Target="http://www.b2b-mrsk.ru/download.html?file=file%2F15179857.7z&amp;title=%D0%9A%D0%94+%D0%A4%D0%BE%D1%80%D0%BF%D0%BE%D1%81%D1%82%2C+%D0%91%D0%B5%D0%BD%D0%B7%D0%B8%D0%BD%D0%BE%D0%B2%D0%B0%D1%8F.7z"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4430&amp;show=statistics" TargetMode="External"/><Relationship Id="rId14" Type="http://schemas.openxmlformats.org/officeDocument/2006/relationships/hyperlink" Target="http://www.b2b-mrsk.ru/market/list_tenders.html?open=1&amp;all=0&amp;cat_id=11742102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_tender.html?id=44430&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4363</Words>
  <Characters>24872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Бордун Елена Павловна</dc:creator>
  <cp:keywords/>
  <dc:description/>
  <cp:lastModifiedBy>Бордун Елена Павловна</cp:lastModifiedBy>
  <cp:revision>1</cp:revision>
  <dcterms:created xsi:type="dcterms:W3CDTF">2015-03-13T06:48:00Z</dcterms:created>
  <dcterms:modified xsi:type="dcterms:W3CDTF">2015-03-13T06:49:00Z</dcterms:modified>
</cp:coreProperties>
</file>