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EC6" w:rsidRPr="00F21EC6" w:rsidRDefault="00F21EC6" w:rsidP="00F21EC6">
      <w:pPr>
        <w:shd w:val="clear" w:color="auto" w:fill="FFFFFF"/>
        <w:spacing w:after="100" w:afterAutospacing="1" w:line="324" w:lineRule="atLeast"/>
        <w:outlineLvl w:val="0"/>
        <w:rPr>
          <w:rFonts w:ascii="Arial" w:hAnsi="Arial" w:cs="Arial"/>
          <w:color w:val="333333"/>
          <w:kern w:val="36"/>
          <w:sz w:val="27"/>
          <w:szCs w:val="27"/>
        </w:rPr>
      </w:pPr>
      <w:r w:rsidRPr="00F21EC6">
        <w:rPr>
          <w:rFonts w:ascii="Arial" w:hAnsi="Arial" w:cs="Arial"/>
          <w:color w:val="333333"/>
          <w:kern w:val="36"/>
          <w:sz w:val="27"/>
          <w:szCs w:val="27"/>
        </w:rPr>
        <w:t>Конкурс (тендер) № 40210 </w:t>
      </w:r>
      <w:r w:rsidRPr="00F21EC6">
        <w:rPr>
          <w:rFonts w:ascii="Arial" w:hAnsi="Arial" w:cs="Arial"/>
          <w:color w:val="A0A0A0"/>
          <w:kern w:val="36"/>
          <w:sz w:val="21"/>
          <w:szCs w:val="21"/>
        </w:rPr>
        <w:t>(вскрытие конвертов 23.05.2014 в 08:00)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F21EC6" w:rsidRPr="00F21EC6" w:rsidTr="00F21EC6">
        <w:trPr>
          <w:tblCellSpacing w:w="0" w:type="dxa"/>
        </w:trPr>
        <w:tc>
          <w:tcPr>
            <w:tcW w:w="0" w:type="auto"/>
            <w:shd w:val="clear" w:color="auto" w:fill="FFFFFF"/>
            <w:hideMark/>
          </w:tcPr>
          <w:p w:rsidR="00F21EC6" w:rsidRPr="00F21EC6" w:rsidRDefault="00F21EC6" w:rsidP="00F21EC6">
            <w:pPr>
              <w:shd w:val="clear" w:color="auto" w:fill="0786D0"/>
              <w:rPr>
                <w:rFonts w:ascii="Arial" w:hAnsi="Arial" w:cs="Arial"/>
                <w:color w:val="FFFFFF"/>
                <w:sz w:val="18"/>
                <w:szCs w:val="18"/>
              </w:rPr>
            </w:pPr>
            <w:r w:rsidRPr="00F21EC6">
              <w:rPr>
                <w:rFonts w:ascii="Arial" w:hAnsi="Arial" w:cs="Arial"/>
                <w:color w:val="FFFFFF"/>
                <w:sz w:val="18"/>
                <w:szCs w:val="18"/>
              </w:rPr>
              <w:t>Извещение</w:t>
            </w:r>
          </w:p>
          <w:p w:rsidR="00F21EC6" w:rsidRPr="00F21EC6" w:rsidRDefault="00F21EC6" w:rsidP="00F21EC6">
            <w:pPr>
              <w:shd w:val="clear" w:color="auto" w:fill="D5DADB"/>
              <w:rPr>
                <w:rFonts w:ascii="Arial" w:hAnsi="Arial" w:cs="Arial"/>
                <w:color w:val="333333"/>
                <w:sz w:val="18"/>
                <w:szCs w:val="18"/>
              </w:rPr>
            </w:pPr>
            <w:hyperlink r:id="rId5" w:history="1">
              <w:r w:rsidRPr="00F21EC6">
                <w:rPr>
                  <w:rFonts w:ascii="Arial" w:hAnsi="Arial" w:cs="Arial"/>
                  <w:color w:val="333333"/>
                  <w:sz w:val="18"/>
                  <w:szCs w:val="18"/>
                  <w:u w:val="single"/>
                  <w:bdr w:val="none" w:sz="0" w:space="0" w:color="auto" w:frame="1"/>
                </w:rPr>
                <w:t>Лоты</w:t>
              </w:r>
            </w:hyperlink>
            <w:r w:rsidRPr="00F21EC6">
              <w:rPr>
                <w:rFonts w:ascii="Arial" w:hAnsi="Arial" w:cs="Arial"/>
                <w:color w:val="333333"/>
                <w:sz w:val="18"/>
                <w:szCs w:val="18"/>
              </w:rPr>
              <w:t> - 1</w:t>
            </w:r>
          </w:p>
          <w:p w:rsidR="00F21EC6" w:rsidRPr="00F21EC6" w:rsidRDefault="00F21EC6" w:rsidP="00F21EC6">
            <w:pPr>
              <w:shd w:val="clear" w:color="auto" w:fill="D5DADB"/>
              <w:rPr>
                <w:rFonts w:ascii="Arial" w:hAnsi="Arial" w:cs="Arial"/>
                <w:color w:val="333333"/>
                <w:sz w:val="18"/>
                <w:szCs w:val="18"/>
              </w:rPr>
            </w:pPr>
            <w:hyperlink r:id="rId6" w:history="1">
              <w:r w:rsidRPr="00F21EC6">
                <w:rPr>
                  <w:rFonts w:ascii="Arial" w:hAnsi="Arial" w:cs="Arial"/>
                  <w:color w:val="333333"/>
                  <w:sz w:val="18"/>
                  <w:szCs w:val="18"/>
                  <w:u w:val="single"/>
                  <w:bdr w:val="none" w:sz="0" w:space="0" w:color="auto" w:frame="1"/>
                </w:rPr>
                <w:t>Запросы разъяснений</w:t>
              </w:r>
            </w:hyperlink>
            <w:r w:rsidRPr="00F21EC6">
              <w:rPr>
                <w:rFonts w:ascii="Arial" w:hAnsi="Arial" w:cs="Arial"/>
                <w:color w:val="333333"/>
                <w:sz w:val="18"/>
                <w:szCs w:val="18"/>
              </w:rPr>
              <w:t> - 0</w:t>
            </w:r>
          </w:p>
          <w:p w:rsidR="00F21EC6" w:rsidRPr="00F21EC6" w:rsidRDefault="00F21EC6" w:rsidP="00F21EC6">
            <w:pPr>
              <w:shd w:val="clear" w:color="auto" w:fill="D5DADB"/>
              <w:rPr>
                <w:rFonts w:ascii="Arial" w:hAnsi="Arial" w:cs="Arial"/>
                <w:color w:val="333333"/>
                <w:sz w:val="18"/>
                <w:szCs w:val="18"/>
              </w:rPr>
            </w:pPr>
            <w:hyperlink r:id="rId7" w:history="1">
              <w:r w:rsidRPr="00F21EC6">
                <w:rPr>
                  <w:rFonts w:ascii="Arial" w:hAnsi="Arial" w:cs="Arial"/>
                  <w:color w:val="333333"/>
                  <w:sz w:val="18"/>
                  <w:szCs w:val="18"/>
                  <w:u w:val="single"/>
                  <w:bdr w:val="none" w:sz="0" w:space="0" w:color="auto" w:frame="1"/>
                </w:rPr>
                <w:t>Приглашения к участию</w:t>
              </w:r>
            </w:hyperlink>
            <w:r w:rsidRPr="00F21EC6">
              <w:rPr>
                <w:rFonts w:ascii="Arial" w:hAnsi="Arial" w:cs="Arial"/>
                <w:color w:val="333333"/>
                <w:sz w:val="18"/>
                <w:szCs w:val="18"/>
              </w:rPr>
              <w:t> - 0</w:t>
            </w:r>
          </w:p>
          <w:p w:rsidR="00F21EC6" w:rsidRPr="00F21EC6" w:rsidRDefault="00F21EC6" w:rsidP="00F21EC6">
            <w:pPr>
              <w:shd w:val="clear" w:color="auto" w:fill="D5DADB"/>
              <w:rPr>
                <w:rFonts w:ascii="Arial" w:hAnsi="Arial" w:cs="Arial"/>
                <w:color w:val="333333"/>
                <w:sz w:val="18"/>
                <w:szCs w:val="18"/>
              </w:rPr>
            </w:pPr>
            <w:hyperlink r:id="rId8" w:history="1">
              <w:r w:rsidRPr="00F21EC6">
                <w:rPr>
                  <w:rFonts w:ascii="Arial" w:hAnsi="Arial" w:cs="Arial"/>
                  <w:color w:val="333333"/>
                  <w:sz w:val="18"/>
                  <w:szCs w:val="18"/>
                  <w:u w:val="single"/>
                  <w:bdr w:val="none" w:sz="0" w:space="0" w:color="auto" w:frame="1"/>
                </w:rPr>
                <w:t>Претенденты</w:t>
              </w:r>
            </w:hyperlink>
            <w:r w:rsidRPr="00F21EC6">
              <w:rPr>
                <w:rFonts w:ascii="Arial" w:hAnsi="Arial" w:cs="Arial"/>
                <w:color w:val="333333"/>
                <w:sz w:val="18"/>
                <w:szCs w:val="18"/>
              </w:rPr>
              <w:t> - 0</w:t>
            </w:r>
          </w:p>
          <w:p w:rsidR="00F21EC6" w:rsidRPr="00F21EC6" w:rsidRDefault="00F21EC6" w:rsidP="00F21EC6">
            <w:pPr>
              <w:shd w:val="clear" w:color="auto" w:fill="D5DADB"/>
              <w:rPr>
                <w:rFonts w:ascii="Arial" w:hAnsi="Arial" w:cs="Arial"/>
                <w:color w:val="333333"/>
                <w:sz w:val="18"/>
                <w:szCs w:val="18"/>
              </w:rPr>
            </w:pPr>
            <w:hyperlink r:id="rId9" w:history="1">
              <w:r w:rsidRPr="00F21EC6">
                <w:rPr>
                  <w:rFonts w:ascii="Arial" w:hAnsi="Arial" w:cs="Arial"/>
                  <w:color w:val="333333"/>
                  <w:sz w:val="18"/>
                  <w:szCs w:val="18"/>
                  <w:u w:val="single"/>
                  <w:bdr w:val="none" w:sz="0" w:space="0" w:color="auto" w:frame="1"/>
                </w:rPr>
                <w:t>Статистика посещений</w:t>
              </w:r>
            </w:hyperlink>
          </w:p>
        </w:tc>
      </w:tr>
    </w:tbl>
    <w:p w:rsidR="00F21EC6" w:rsidRPr="00F21EC6" w:rsidRDefault="00F21EC6" w:rsidP="00F21EC6"/>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F21EC6" w:rsidRPr="00F21EC6" w:rsidTr="00F21EC6">
        <w:trPr>
          <w:tblCellSpacing w:w="7" w:type="dxa"/>
        </w:trPr>
        <w:tc>
          <w:tcPr>
            <w:tcW w:w="0" w:type="auto"/>
            <w:shd w:val="clear" w:color="auto" w:fill="C2C9CD"/>
            <w:tcMar>
              <w:top w:w="75" w:type="dxa"/>
              <w:left w:w="75" w:type="dxa"/>
              <w:bottom w:w="75" w:type="dxa"/>
              <w:right w:w="75" w:type="dxa"/>
            </w:tcMar>
            <w:hideMark/>
          </w:tcPr>
          <w:p w:rsidR="00F21EC6" w:rsidRPr="00F21EC6" w:rsidRDefault="00F21EC6" w:rsidP="00F21EC6">
            <w:pPr>
              <w:shd w:val="clear" w:color="auto" w:fill="C2C9CD"/>
              <w:spacing w:line="216" w:lineRule="atLeast"/>
              <w:outlineLvl w:val="1"/>
              <w:rPr>
                <w:rFonts w:ascii="Arial" w:hAnsi="Arial" w:cs="Arial"/>
                <w:color w:val="333333"/>
                <w:sz w:val="18"/>
                <w:szCs w:val="18"/>
              </w:rPr>
            </w:pPr>
            <w:hyperlink r:id="rId10" w:history="1">
              <w:r w:rsidRPr="00F21EC6">
                <w:rPr>
                  <w:rFonts w:ascii="Arial" w:hAnsi="Arial" w:cs="Arial"/>
                  <w:b/>
                  <w:bCs/>
                  <w:color w:val="990066"/>
                  <w:sz w:val="18"/>
                  <w:szCs w:val="18"/>
                  <w:u w:val="single"/>
                </w:rPr>
                <w:t>Филиал Открытого Акционерного Общества энергетики и электрификации "</w:t>
              </w:r>
              <w:proofErr w:type="spellStart"/>
              <w:r w:rsidRPr="00F21EC6">
                <w:rPr>
                  <w:rFonts w:ascii="Arial" w:hAnsi="Arial" w:cs="Arial"/>
                  <w:b/>
                  <w:bCs/>
                  <w:color w:val="990066"/>
                  <w:sz w:val="18"/>
                  <w:szCs w:val="18"/>
                  <w:u w:val="single"/>
                </w:rPr>
                <w:t>Тюменьэнерго</w:t>
              </w:r>
              <w:proofErr w:type="spellEnd"/>
              <w:r w:rsidRPr="00F21EC6">
                <w:rPr>
                  <w:rFonts w:ascii="Arial" w:hAnsi="Arial" w:cs="Arial"/>
                  <w:b/>
                  <w:bCs/>
                  <w:color w:val="990066"/>
                  <w:sz w:val="18"/>
                  <w:szCs w:val="18"/>
                  <w:u w:val="single"/>
                </w:rPr>
                <w:t xml:space="preserve">" </w:t>
              </w:r>
              <w:proofErr w:type="spellStart"/>
              <w:r w:rsidRPr="00F21EC6">
                <w:rPr>
                  <w:rFonts w:ascii="Arial" w:hAnsi="Arial" w:cs="Arial"/>
                  <w:b/>
                  <w:bCs/>
                  <w:color w:val="990066"/>
                  <w:sz w:val="18"/>
                  <w:szCs w:val="18"/>
                  <w:u w:val="single"/>
                </w:rPr>
                <w:t>Нижневартовские</w:t>
              </w:r>
              <w:proofErr w:type="spellEnd"/>
              <w:r w:rsidRPr="00F21EC6">
                <w:rPr>
                  <w:rFonts w:ascii="Arial" w:hAnsi="Arial" w:cs="Arial"/>
                  <w:b/>
                  <w:bCs/>
                  <w:color w:val="990066"/>
                  <w:sz w:val="18"/>
                  <w:szCs w:val="18"/>
                  <w:u w:val="single"/>
                </w:rPr>
                <w:t xml:space="preserve"> электрические сети</w:t>
              </w:r>
            </w:hyperlink>
            <w:r w:rsidRPr="00F21EC6">
              <w:rPr>
                <w:rFonts w:ascii="Arial" w:hAnsi="Arial" w:cs="Arial"/>
                <w:color w:val="333333"/>
                <w:sz w:val="18"/>
                <w:szCs w:val="18"/>
              </w:rPr>
              <w:t>, 628617, Ханты-Мансийский Автономный округ - Югра, Тюменская область, г. Нижневартовск, ул. Пермская, 22, </w:t>
            </w:r>
            <w:r w:rsidRPr="00F21EC6">
              <w:rPr>
                <w:rFonts w:ascii="Arial" w:hAnsi="Arial" w:cs="Arial"/>
                <w:b/>
                <w:bCs/>
                <w:color w:val="333333"/>
                <w:sz w:val="18"/>
                <w:szCs w:val="18"/>
              </w:rPr>
              <w:t>приглашает принять участие в процедуре (тендере)</w:t>
            </w:r>
            <w:r w:rsidRPr="00F21EC6">
              <w:rPr>
                <w:rFonts w:ascii="Arial" w:hAnsi="Arial" w:cs="Arial"/>
                <w:color w:val="333333"/>
                <w:sz w:val="18"/>
                <w:szCs w:val="18"/>
              </w:rPr>
              <w:t>.</w:t>
            </w:r>
          </w:p>
        </w:tc>
      </w:tr>
      <w:tr w:rsidR="00F21EC6" w:rsidRPr="00F21EC6" w:rsidTr="00F21E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Предмет конкурса (тендера):</w:t>
                  </w:r>
                </w:p>
              </w:tc>
              <w:tc>
                <w:tcPr>
                  <w:tcW w:w="0" w:type="auto"/>
                  <w:shd w:val="clear" w:color="auto" w:fill="F7F7F7"/>
                  <w:hideMark/>
                </w:tcPr>
                <w:p w:rsidR="00F21EC6" w:rsidRPr="00F21EC6" w:rsidRDefault="00F21EC6" w:rsidP="00F21EC6">
                  <w:r w:rsidRPr="00F21EC6">
                    <w:t xml:space="preserve">Открытый одноэтапный конкурс без предварительного отбора на право заключения договора на выполнение работ по реконструкции ПС 110/35/6 </w:t>
                  </w:r>
                  <w:proofErr w:type="spellStart"/>
                  <w:r w:rsidRPr="00F21EC6">
                    <w:t>кВ</w:t>
                  </w:r>
                  <w:proofErr w:type="spellEnd"/>
                  <w:r w:rsidRPr="00F21EC6">
                    <w:t xml:space="preserve"> </w:t>
                  </w:r>
                  <w:proofErr w:type="spellStart"/>
                  <w:r w:rsidRPr="00F21EC6">
                    <w:t>Самотлор</w:t>
                  </w:r>
                  <w:proofErr w:type="spellEnd"/>
                  <w:r w:rsidRPr="00F21EC6">
                    <w:t xml:space="preserve"> с заменой разъединителей 110 </w:t>
                  </w:r>
                  <w:proofErr w:type="spellStart"/>
                  <w:r w:rsidRPr="00F21EC6">
                    <w:t>кВ</w:t>
                  </w:r>
                  <w:proofErr w:type="spellEnd"/>
                  <w:r w:rsidRPr="00F21EC6">
                    <w:t xml:space="preserve"> и устройств РЗА филиала ОАО «</w:t>
                  </w:r>
                  <w:proofErr w:type="spellStart"/>
                  <w:r w:rsidRPr="00F21EC6">
                    <w:t>Тюменьэнерго</w:t>
                  </w:r>
                  <w:proofErr w:type="spellEnd"/>
                  <w:r w:rsidRPr="00F21EC6">
                    <w:t xml:space="preserve">» </w:t>
                  </w:r>
                  <w:proofErr w:type="spellStart"/>
                  <w:r w:rsidRPr="00F21EC6">
                    <w:t>Нижневартовские</w:t>
                  </w:r>
                  <w:proofErr w:type="spellEnd"/>
                  <w:r w:rsidRPr="00F21EC6">
                    <w:t xml:space="preserve"> электрические сети</w:t>
                  </w:r>
                  <w:r w:rsidRPr="00F21EC6">
                    <w:br/>
                  </w:r>
                  <w:r w:rsidRPr="00F21EC6">
                    <w:rPr>
                      <w:b/>
                      <w:bCs/>
                    </w:rPr>
                    <w:t>Лот № 1.</w:t>
                  </w:r>
                  <w:r w:rsidRPr="00F21EC6">
                    <w:t xml:space="preserve"> Открытый одноэтапный конкурс без предварительного отбора на право заключения договора на выполнение работ по реконструкции ПС 110/35/6 </w:t>
                  </w:r>
                  <w:proofErr w:type="spellStart"/>
                  <w:r w:rsidRPr="00F21EC6">
                    <w:t>кВ</w:t>
                  </w:r>
                  <w:proofErr w:type="spellEnd"/>
                  <w:r w:rsidRPr="00F21EC6">
                    <w:t xml:space="preserve"> </w:t>
                  </w:r>
                  <w:proofErr w:type="spellStart"/>
                  <w:r w:rsidRPr="00F21EC6">
                    <w:t>Самотлор</w:t>
                  </w:r>
                  <w:proofErr w:type="spellEnd"/>
                  <w:r w:rsidRPr="00F21EC6">
                    <w:t xml:space="preserve"> с заменой разъединителей 110 </w:t>
                  </w:r>
                  <w:proofErr w:type="spellStart"/>
                  <w:r w:rsidRPr="00F21EC6">
                    <w:t>кВ</w:t>
                  </w:r>
                  <w:proofErr w:type="spellEnd"/>
                  <w:r w:rsidRPr="00F21EC6">
                    <w:t xml:space="preserve"> и устройств РЗА филиала ОАО «</w:t>
                  </w:r>
                  <w:proofErr w:type="spellStart"/>
                  <w:r w:rsidRPr="00F21EC6">
                    <w:t>Тюменьэнерго</w:t>
                  </w:r>
                  <w:proofErr w:type="spellEnd"/>
                  <w:r w:rsidRPr="00F21EC6">
                    <w:t xml:space="preserve">» </w:t>
                  </w:r>
                  <w:proofErr w:type="spellStart"/>
                  <w:r w:rsidRPr="00F21EC6">
                    <w:t>Нижневартовские</w:t>
                  </w:r>
                  <w:proofErr w:type="spellEnd"/>
                  <w:r w:rsidRPr="00F21EC6">
                    <w:t xml:space="preserve"> электрические сети (ОАО "</w:t>
                  </w:r>
                  <w:proofErr w:type="spellStart"/>
                  <w:r w:rsidRPr="00F21EC6">
                    <w:t>Тюменьэнерго</w:t>
                  </w:r>
                  <w:proofErr w:type="spellEnd"/>
                  <w:r w:rsidRPr="00F21EC6">
                    <w:t>")</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Категории ОКДП:</w:t>
                  </w:r>
                </w:p>
              </w:tc>
              <w:tc>
                <w:tcPr>
                  <w:tcW w:w="0" w:type="auto"/>
                  <w:hideMark/>
                </w:tcPr>
                <w:p w:rsidR="00F21EC6" w:rsidRPr="00F21EC6" w:rsidRDefault="00F21EC6" w:rsidP="00F21EC6">
                  <w:r w:rsidRPr="00F21EC6">
                    <w:t>4521123 </w:t>
                  </w:r>
                  <w:hyperlink r:id="rId11" w:history="1">
                    <w:r w:rsidRPr="00F21EC6">
                      <w:rPr>
                        <w:color w:val="1C50A4"/>
                        <w:u w:val="single"/>
                      </w:rPr>
                      <w:t>Подстанция электрическая</w:t>
                    </w:r>
                  </w:hyperlink>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Категория ОКВЭД:</w:t>
                  </w:r>
                </w:p>
              </w:tc>
              <w:tc>
                <w:tcPr>
                  <w:tcW w:w="0" w:type="auto"/>
                  <w:shd w:val="clear" w:color="auto" w:fill="F7F7F7"/>
                  <w:hideMark/>
                </w:tcPr>
                <w:p w:rsidR="00F21EC6" w:rsidRPr="00F21EC6" w:rsidRDefault="00F21EC6" w:rsidP="00F21EC6">
                  <w:pPr>
                    <w:shd w:val="clear" w:color="auto" w:fill="FFFFFF"/>
                  </w:pPr>
                  <w:r w:rsidRPr="00F21EC6">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Конкурс (тендер) объявлен:</w:t>
                  </w:r>
                </w:p>
              </w:tc>
              <w:tc>
                <w:tcPr>
                  <w:tcW w:w="0" w:type="auto"/>
                  <w:hideMark/>
                </w:tcPr>
                <w:p w:rsidR="00F21EC6" w:rsidRPr="00F21EC6" w:rsidRDefault="00F21EC6" w:rsidP="00F21EC6">
                  <w:r w:rsidRPr="00F21EC6">
                    <w:t>21.04.2014 12:07</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Сроки поставки:</w:t>
                  </w:r>
                </w:p>
              </w:tc>
              <w:tc>
                <w:tcPr>
                  <w:tcW w:w="0" w:type="auto"/>
                  <w:shd w:val="clear" w:color="auto" w:fill="F7F7F7"/>
                  <w:hideMark/>
                </w:tcPr>
                <w:p w:rsidR="00F21EC6" w:rsidRPr="00F21EC6" w:rsidRDefault="00F21EC6" w:rsidP="00F21EC6">
                  <w:r w:rsidRPr="00F21EC6">
                    <w:rPr>
                      <w:b/>
                      <w:bCs/>
                    </w:rPr>
                    <w:t>14.07.2014 - 15.12.2014</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Почтовый адрес заказчика:</w:t>
                  </w:r>
                </w:p>
              </w:tc>
              <w:tc>
                <w:tcPr>
                  <w:tcW w:w="0" w:type="auto"/>
                  <w:hideMark/>
                </w:tcPr>
                <w:p w:rsidR="00F21EC6" w:rsidRPr="00F21EC6" w:rsidRDefault="00F21EC6" w:rsidP="00F21EC6">
                  <w:r w:rsidRPr="00F21EC6">
                    <w:t>628617, Ханты-Мансийский Автономный округ - Югра, Тюменская область, г. Нижневартовск, ул. Пермская, 22</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Местонахождение заказчика:</w:t>
                  </w:r>
                </w:p>
              </w:tc>
              <w:tc>
                <w:tcPr>
                  <w:tcW w:w="0" w:type="auto"/>
                  <w:shd w:val="clear" w:color="auto" w:fill="F7F7F7"/>
                  <w:hideMark/>
                </w:tcPr>
                <w:p w:rsidR="00F21EC6" w:rsidRPr="00F21EC6" w:rsidRDefault="00F21EC6" w:rsidP="00F21EC6">
                  <w:r w:rsidRPr="00F21EC6">
                    <w:t>628617, Ханты-Мансийский Автономный округ - Югра, Тюменская область, г. Нижневартовск, ул. Пермская, 22</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Контактное лицо:</w:t>
                  </w:r>
                </w:p>
              </w:tc>
              <w:tc>
                <w:tcPr>
                  <w:tcW w:w="0" w:type="auto"/>
                  <w:hideMark/>
                </w:tcPr>
                <w:p w:rsidR="00F21EC6" w:rsidRPr="00F21EC6" w:rsidRDefault="00F21EC6" w:rsidP="00F21EC6">
                  <w:hyperlink r:id="rId12" w:tgtFrame="_blank" w:tooltip="Отправить личное сообщение" w:history="1">
                    <w:r w:rsidRPr="00F21EC6">
                      <w:rPr>
                        <w:color w:val="1C50A4"/>
                        <w:u w:val="single"/>
                      </w:rPr>
                      <w:t>Черных Юлия Николаевна</w:t>
                    </w:r>
                  </w:hyperlink>
                  <w:r w:rsidRPr="00F21EC6">
                    <w:t>, тел.+7 (3466) 48-42-83, </w:t>
                  </w:r>
                  <w:hyperlink r:id="rId13" w:history="1">
                    <w:r w:rsidRPr="00F21EC6">
                      <w:rPr>
                        <w:color w:val="1C50A4"/>
                        <w:u w:val="single"/>
                      </w:rPr>
                      <w:t>ChernyhYN@vartanet.ru</w:t>
                    </w:r>
                  </w:hyperlink>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Конкурсная комиссия:</w:t>
                  </w:r>
                </w:p>
              </w:tc>
              <w:tc>
                <w:tcPr>
                  <w:tcW w:w="0" w:type="auto"/>
                  <w:shd w:val="clear" w:color="auto" w:fill="F7F7F7"/>
                  <w:hideMark/>
                </w:tcPr>
                <w:p w:rsidR="00F21EC6" w:rsidRPr="00F21EC6" w:rsidRDefault="00F21EC6" w:rsidP="00F21EC6">
                  <w:proofErr w:type="gramStart"/>
                  <w:r w:rsidRPr="00F21EC6">
                    <w:t>Назначена</w:t>
                  </w:r>
                  <w:proofErr w:type="gramEnd"/>
                  <w:r w:rsidRPr="00F21EC6">
                    <w:t xml:space="preserve"> приказом ОАО "</w:t>
                  </w:r>
                  <w:proofErr w:type="spellStart"/>
                  <w:r w:rsidRPr="00F21EC6">
                    <w:t>Тюменьэнерго</w:t>
                  </w:r>
                  <w:proofErr w:type="spellEnd"/>
                  <w:r w:rsidRPr="00F21EC6">
                    <w:t>" от 04.03.2014 г. № 89</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Требования к участникам:</w:t>
                  </w:r>
                </w:p>
              </w:tc>
              <w:tc>
                <w:tcPr>
                  <w:tcW w:w="0" w:type="auto"/>
                  <w:hideMark/>
                </w:tcPr>
                <w:p w:rsidR="00F21EC6" w:rsidRPr="00F21EC6" w:rsidRDefault="00F21EC6" w:rsidP="00F21EC6">
                  <w:r w:rsidRPr="00F21EC6">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F21EC6">
                    <w:br/>
                    <w:t>Участник должен обладать гражданской правоспособностью в полном объеме для заключения и исполнения Договора</w:t>
                  </w:r>
                  <w:r w:rsidRPr="00F21EC6">
                    <w:br/>
                    <w:t xml:space="preserve">Участник должен обладать необходимыми кадровыми ресурсами: персонал (основных рабочих специальностей): электромонтажники – не менее 4 чел.; сварщик 3-6 разряда не менее 2 чел.; рабочие строительных специальностей 3-6 разряда не менее 4 чел.; наладчики РЗА не менее 4 чел.; специалисты </w:t>
                  </w:r>
                  <w:proofErr w:type="gramStart"/>
                  <w:r w:rsidRPr="00F21EC6">
                    <w:t>ИТ</w:t>
                  </w:r>
                  <w:proofErr w:type="gramEnd"/>
                  <w:r w:rsidRPr="00F21EC6">
                    <w:t xml:space="preserve"> не менее 3 чел. </w:t>
                  </w:r>
                  <w:r w:rsidRPr="00F21EC6">
                    <w:br/>
                    <w:t>Заявка Участника будет отклонена, в случае несоответствия установленным требованиям (форма 9)</w:t>
                  </w:r>
                  <w:r w:rsidRPr="00F21EC6">
                    <w:br/>
                  </w:r>
                  <w:r w:rsidRPr="00F21EC6">
                    <w:lastRenderedPageBreak/>
                    <w:t>Участник должен обладать необходимыми основными машинами и механизмами: </w:t>
                  </w:r>
                  <w:r w:rsidRPr="00F21EC6">
                    <w:br/>
                    <w:t>- автокран г/</w:t>
                  </w:r>
                  <w:proofErr w:type="gramStart"/>
                  <w:r w:rsidRPr="00F21EC6">
                    <w:t>п</w:t>
                  </w:r>
                  <w:proofErr w:type="gramEnd"/>
                  <w:r w:rsidRPr="00F21EC6">
                    <w:t xml:space="preserve"> до 16 </w:t>
                  </w:r>
                  <w:proofErr w:type="spellStart"/>
                  <w:r w:rsidRPr="00F21EC6">
                    <w:t>тн</w:t>
                  </w:r>
                  <w:proofErr w:type="spellEnd"/>
                  <w:r w:rsidRPr="00F21EC6">
                    <w:t xml:space="preserve">. не менее 1 ед.; Вахтовый автобус не менее 1 ед.; автомобиль грузовой различного назначения г/п 5-10 </w:t>
                  </w:r>
                  <w:proofErr w:type="spellStart"/>
                  <w:r w:rsidRPr="00F21EC6">
                    <w:t>тн</w:t>
                  </w:r>
                  <w:proofErr w:type="spellEnd"/>
                  <w:r w:rsidRPr="00F21EC6">
                    <w:t>. не менее 1 ед.;</w:t>
                  </w:r>
                  <w:r w:rsidRPr="00F21EC6">
                    <w:br/>
                    <w:t>Сварочный агрегат не менее 1 ед.; комплект инструмента и такелажа для демонтажа и монтажа оборудования.</w:t>
                  </w:r>
                  <w:r w:rsidRPr="00F21EC6">
                    <w:br/>
                  </w:r>
                  <w:proofErr w:type="gramStart"/>
                  <w:r w:rsidRPr="00F21EC6">
                    <w:t>Заявка Участника будет отклонена, в случае несоответствия установленным требованиям (форма 8)</w:t>
                  </w:r>
                  <w:r w:rsidRPr="00F21EC6">
                    <w:b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F21EC6">
                    <w:br/>
                    <w:t>Участнику желательно иметь положительную репутацию, подтвержденную отзывами о выполнении аналогичных договоров за последние 3 года</w:t>
                  </w:r>
                  <w:r w:rsidRPr="00F21EC6">
                    <w:br/>
                    <w:t>Участник должен иметь устойчивое финансовое состояние.</w:t>
                  </w:r>
                  <w:proofErr w:type="gramEnd"/>
                  <w:r w:rsidRPr="00F21EC6">
                    <w:br/>
                  </w:r>
                  <w:r w:rsidRPr="00F21EC6">
                    <w:br/>
                    <w:t>Показатель финансовой устойчивости - стоимость чистых активов (СЧА) должен иметь значение &gt;0 </w:t>
                  </w:r>
                  <w:r w:rsidRPr="00F21EC6">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F21EC6">
                    <w:br/>
                    <w:t>СЧА= стр.1600-стр.1400-стр.1500, </w:t>
                  </w:r>
                  <w:r w:rsidRPr="00F21EC6">
                    <w:br/>
                    <w:t xml:space="preserve">при этом в расчет принимается стоимость фактически ликвидных активов (активы, имеющие рыночную стоимость не ниже </w:t>
                  </w:r>
                  <w:proofErr w:type="gramStart"/>
                  <w:r w:rsidRPr="00F21EC6">
                    <w:t>балансовой</w:t>
                  </w:r>
                  <w:proofErr w:type="gramEnd"/>
                  <w:r w:rsidRPr="00F21EC6">
                    <w:t>). </w:t>
                  </w:r>
                  <w:r w:rsidRPr="00F21EC6">
                    <w:br/>
                  </w:r>
                  <w:r w:rsidRPr="00F21EC6">
                    <w:br/>
                    <w:t>Показатель финансовой устойчивости - коэффициент соизмеримости (КСВ) должен иметь значение ≥ 0,5</w:t>
                  </w:r>
                  <w:r w:rsidRPr="00F21EC6">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F21EC6">
                    <w:br/>
                    <w:t>,</w:t>
                  </w:r>
                  <w:r w:rsidRPr="00F21EC6">
                    <w:br/>
                    <w:t>где V – сумма показателей выручки за последний завершенный период (год) и за текущий год на отчетную дату;</w:t>
                  </w:r>
                  <w:r w:rsidRPr="00F21EC6">
                    <w:br/>
                  </w:r>
                  <w:proofErr w:type="gramStart"/>
                  <w:r w:rsidRPr="00F21EC6">
                    <w:t>Р</w:t>
                  </w:r>
                  <w:proofErr w:type="gramEnd"/>
                  <w:r w:rsidRPr="00F21EC6">
                    <w:t xml:space="preserve"> – период выполнения обязательств по договору (в месяцах);</w:t>
                  </w:r>
                  <w:r w:rsidRPr="00F21EC6">
                    <w:br/>
                    <w:t>В – количество месяцев в периоде, в котором сформирован показатель V;</w:t>
                  </w:r>
                  <w:r w:rsidRPr="00F21EC6">
                    <w:br/>
                    <w:t>S – сумма договора (без НДС).</w:t>
                  </w:r>
                  <w:r w:rsidRPr="00F21EC6">
                    <w:br/>
                  </w:r>
                  <w:r w:rsidRPr="00F21EC6">
                    <w:br/>
                  </w:r>
                  <w:proofErr w:type="gramStart"/>
                  <w:r w:rsidRPr="00F21EC6">
                    <w:t>Подробная информация указана в Методике оценки финансовой устойчивости Участников закупки (приложение 5 к Конкурсной документации)</w:t>
                  </w:r>
                  <w:r w:rsidRPr="00F21EC6">
                    <w:br/>
                  </w:r>
                  <w:r w:rsidRPr="00F21EC6">
                    <w:br/>
                    <w:t>Заключение аудиторской проверки за последние 2 года в случаях, когда проведение аудиторской проверки в соответствии с законодательством Российской Федерации обязательно, а также в случае наличия заключения аудиторской проверки при проведении добровольного аудита</w:t>
                  </w:r>
                  <w:r w:rsidRPr="00F21EC6">
                    <w:br/>
                    <w:t>Техническое и коммерческое предложения должны соответствовать требованиям Заказчика</w:t>
                  </w:r>
                  <w:r w:rsidRPr="00F21EC6">
                    <w:br/>
                  </w:r>
                  <w:r w:rsidRPr="00F21EC6">
                    <w:lastRenderedPageBreak/>
                    <w:t>Персонал Участника должен быть обучен</w:t>
                  </w:r>
                  <w:proofErr w:type="gramEnd"/>
                  <w:r w:rsidRPr="00F21EC6">
                    <w:t xml:space="preserve">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F21EC6">
                    <w:br/>
                    <w:t>Требования к благонадежности Участника, членам коллективного Участника, субподрядчика (соисполнителя/субпоставщика)</w:t>
                  </w:r>
                  <w:r w:rsidRPr="00F21EC6">
                    <w:br/>
                    <w:t>а) Участник должен дать согласие на проведение проверки благонадежности Службой экономической безопасности ОАО «</w:t>
                  </w:r>
                  <w:proofErr w:type="spellStart"/>
                  <w:r w:rsidRPr="00F21EC6">
                    <w:t>Тюменьэнерго</w:t>
                  </w:r>
                  <w:proofErr w:type="spellEnd"/>
                  <w:r w:rsidRPr="00F21EC6">
                    <w:t>»;</w:t>
                  </w:r>
                  <w:r w:rsidRPr="00F21EC6">
                    <w:br/>
                  </w:r>
                  <w:proofErr w:type="gramStart"/>
                  <w:r w:rsidRPr="00F21EC6">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21EC6">
                    <w:br/>
                    <w:t>в) деятельность Участника должна быть безубыточной за последний завершенный год;</w:t>
                  </w:r>
                  <w:r w:rsidRPr="00F21EC6">
                    <w:br/>
                    <w:t>г) экономическая деятельность Участника не должна быть приостановлена в административном порядке;</w:t>
                  </w:r>
                  <w:r w:rsidRPr="00F21EC6">
                    <w:br/>
                    <w:t>д) Участник не должен иметь задолженность по уплате налогов;</w:t>
                  </w:r>
                  <w:proofErr w:type="gramEnd"/>
                  <w:r w:rsidRPr="00F21EC6">
                    <w:br/>
                    <w:t>е) на имущество Участника не должен быть наложен арест;</w:t>
                  </w:r>
                  <w:r w:rsidRPr="00F21EC6">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21EC6">
                    <w:br/>
                  </w:r>
                  <w:proofErr w:type="gramStart"/>
                  <w:r w:rsidRPr="00F21EC6">
                    <w:t>з) отсутствие сведений об Участнике закупки и привлекаемых им субподрядчиков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21EC6">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F21EC6">
                    <w:t>Россети</w:t>
                  </w:r>
                  <w:proofErr w:type="spellEnd"/>
                  <w:r w:rsidRPr="00F21EC6">
                    <w:t>», ДЗО (ВЗО) ОАО «</w:t>
                  </w:r>
                  <w:proofErr w:type="spellStart"/>
                  <w:r w:rsidRPr="00F21EC6">
                    <w:t>Россети</w:t>
                  </w:r>
                  <w:proofErr w:type="spellEnd"/>
                  <w:r w:rsidRPr="00F21EC6">
                    <w:t>», а также родственниками работников ОАО «</w:t>
                  </w:r>
                  <w:proofErr w:type="spellStart"/>
                  <w:r w:rsidRPr="00F21EC6">
                    <w:t>Россети</w:t>
                  </w:r>
                  <w:proofErr w:type="spellEnd"/>
                  <w:r w:rsidRPr="00F21EC6">
                    <w:t>», ДЗО (ВЗО) ОАО «</w:t>
                  </w:r>
                  <w:proofErr w:type="spellStart"/>
                  <w:r w:rsidRPr="00F21EC6">
                    <w:t>Россети</w:t>
                  </w:r>
                  <w:proofErr w:type="spellEnd"/>
                  <w:r w:rsidRPr="00F21EC6">
                    <w:t>»;</w:t>
                  </w:r>
                  <w:r w:rsidRPr="00F21EC6">
                    <w:br/>
                    <w:t>к) Участник не должен быть аффилирован к другим Участникам закупки;</w:t>
                  </w:r>
                  <w:r w:rsidRPr="00F21EC6">
                    <w:br/>
                  </w:r>
                  <w:proofErr w:type="gramStart"/>
                  <w:r w:rsidRPr="00F21EC6">
                    <w:t>л) отсутствие у ОАО "</w:t>
                  </w:r>
                  <w:proofErr w:type="spellStart"/>
                  <w:r w:rsidRPr="00F21EC6">
                    <w:t>Тюменьэнерго</w:t>
                  </w:r>
                  <w:proofErr w:type="spellEnd"/>
                  <w:r w:rsidRPr="00F21EC6">
                    <w:t>" информации о неисполнении/ненадлежащем исполнении Участником договорных обязательств по заключенным с ОАО «</w:t>
                  </w:r>
                  <w:proofErr w:type="spellStart"/>
                  <w:r w:rsidRPr="00F21EC6">
                    <w:t>Тюменьэнерго</w:t>
                  </w:r>
                  <w:proofErr w:type="spellEnd"/>
                  <w:r w:rsidRPr="00F21EC6">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F21EC6">
                    <w:br/>
                    <w:t>м) отсутствие сведений о предстоящем исключении контрагента из ЕГРЮЛ/ЕГРИП;</w:t>
                  </w:r>
                  <w:proofErr w:type="gramEnd"/>
                  <w:r w:rsidRPr="00F21EC6">
                    <w:br/>
                    <w:t>н) отсутствие фактов предоставления Участником недостоверных сведений и документов в рамках закупочной процедуры;</w:t>
                  </w:r>
                  <w:r w:rsidRPr="00F21EC6">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F21EC6">
                    <w:t>Тюменьэнерго</w:t>
                  </w:r>
                  <w:proofErr w:type="spellEnd"/>
                  <w:r w:rsidRPr="00F21EC6">
                    <w:t xml:space="preserve">" и оспариванию </w:t>
                  </w:r>
                  <w:r w:rsidRPr="00F21EC6">
                    <w:lastRenderedPageBreak/>
                    <w:t>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F21EC6">
                    <w:t>Тюменьэнерго</w:t>
                  </w:r>
                  <w:proofErr w:type="spellEnd"/>
                  <w:r w:rsidRPr="00F21EC6">
                    <w:t>" (СЭБ ОАО "</w:t>
                  </w:r>
                  <w:proofErr w:type="spellStart"/>
                  <w:r w:rsidRPr="00F21EC6">
                    <w:t>Тюменьэнерго</w:t>
                  </w:r>
                  <w:proofErr w:type="spellEnd"/>
                  <w:r w:rsidRPr="00F21EC6">
                    <w:t>").</w:t>
                  </w:r>
                  <w:r w:rsidRPr="00F21EC6">
                    <w:br/>
                  </w:r>
                  <w:r w:rsidRPr="00F21EC6">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lastRenderedPageBreak/>
                    <w:t>Комплект конкурсной документации:</w:t>
                  </w:r>
                </w:p>
              </w:tc>
              <w:tc>
                <w:tcPr>
                  <w:tcW w:w="0" w:type="auto"/>
                  <w:shd w:val="clear" w:color="auto" w:fill="F7F7F7"/>
                  <w:hideMark/>
                </w:tcPr>
                <w:p w:rsidR="00F21EC6" w:rsidRPr="00F21EC6" w:rsidRDefault="00F21EC6" w:rsidP="00F21EC6">
                  <w:r w:rsidRPr="00F21EC6">
                    <w:t>Конкурсную документацию Участники могут получить на Официальном сайте РФ – www.zakupki.gov.ru, электронн</w:t>
                  </w:r>
                  <w:proofErr w:type="gramStart"/>
                  <w:r w:rsidRPr="00F21EC6">
                    <w:t>о-</w:t>
                  </w:r>
                  <w:proofErr w:type="gramEnd"/>
                  <w:r w:rsidRPr="00F21EC6">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Конкурсная документация:</w:t>
                  </w:r>
                </w:p>
              </w:tc>
              <w:tc>
                <w:tcPr>
                  <w:tcW w:w="0" w:type="auto"/>
                  <w:hideMark/>
                </w:tcPr>
                <w:p w:rsidR="00F21EC6" w:rsidRPr="00F21EC6" w:rsidRDefault="00F21EC6" w:rsidP="00F21EC6">
                  <w:hyperlink r:id="rId14" w:tgtFrame="_blank" w:history="1">
                    <w:r w:rsidRPr="00F21EC6">
                      <w:rPr>
                        <w:color w:val="1C50A4"/>
                        <w:u w:val="single"/>
                      </w:rPr>
                      <w:t>Скачать файл</w:t>
                    </w:r>
                    <w:r w:rsidRPr="00F21EC6">
                      <w:rPr>
                        <w:color w:val="1C50A4"/>
                      </w:rPr>
                      <w:t> </w:t>
                    </w:r>
                    <w:r w:rsidRPr="00F21EC6">
                      <w:rPr>
                        <w:b/>
                        <w:bCs/>
                        <w:color w:val="1C50A4"/>
                        <w:u w:val="single"/>
                      </w:rPr>
                      <w:t>КД.zip</w:t>
                    </w:r>
                  </w:hyperlink>
                  <w:r w:rsidRPr="00F21EC6">
                    <w:t> (9.1 Мб)</w:t>
                  </w:r>
                </w:p>
                <w:p w:rsidR="00F21EC6" w:rsidRPr="00F21EC6" w:rsidRDefault="00F21EC6" w:rsidP="00F21EC6">
                  <w:hyperlink r:id="rId15" w:history="1">
                    <w:r w:rsidRPr="00F21EC6">
                      <w:rPr>
                        <w:b/>
                        <w:bCs/>
                        <w:color w:val="1C50A4"/>
                        <w:u w:val="single"/>
                      </w:rPr>
                      <w:t>Редактировать конкурсную документацию</w:t>
                    </w:r>
                  </w:hyperlink>
                </w:p>
                <w:p w:rsidR="00F21EC6" w:rsidRPr="00F21EC6" w:rsidRDefault="00F21EC6" w:rsidP="00F21EC6">
                  <w:hyperlink r:id="rId16" w:tgtFrame="signature" w:history="1">
                    <w:r w:rsidRPr="00F21EC6">
                      <w:rPr>
                        <w:color w:val="1C50A4"/>
                        <w:u w:val="single"/>
                      </w:rPr>
                      <w:t>Подписана ЭП</w:t>
                    </w:r>
                  </w:hyperlink>
                </w:p>
                <w:p w:rsidR="00F21EC6" w:rsidRPr="00F21EC6" w:rsidRDefault="00F21EC6" w:rsidP="00F21EC6">
                  <w:hyperlink r:id="rId17" w:history="1">
                    <w:r w:rsidRPr="00F21EC6">
                      <w:rPr>
                        <w:color w:val="1C50A4"/>
                        <w:u w:val="single"/>
                      </w:rPr>
                      <w:t>Перевести документацию на другой язык</w:t>
                    </w:r>
                  </w:hyperlink>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Порядок предоставления конкурсной документации:</w:t>
                  </w:r>
                </w:p>
              </w:tc>
              <w:tc>
                <w:tcPr>
                  <w:tcW w:w="0" w:type="auto"/>
                  <w:shd w:val="clear" w:color="auto" w:fill="F7F7F7"/>
                  <w:hideMark/>
                </w:tcPr>
                <w:p w:rsidR="00F21EC6" w:rsidRPr="00F21EC6" w:rsidRDefault="00F21EC6" w:rsidP="00F21EC6">
                  <w:r w:rsidRPr="00F21EC6">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21EC6">
                    <w:t>с даты размещения</w:t>
                  </w:r>
                  <w:proofErr w:type="gramEnd"/>
                  <w:r w:rsidRPr="00F21EC6">
                    <w:t xml:space="preserve"> закупки.</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Обеспечение конкурсных заявок, кроме банковских гарантий:</w:t>
                  </w:r>
                </w:p>
              </w:tc>
              <w:tc>
                <w:tcPr>
                  <w:tcW w:w="0" w:type="auto"/>
                  <w:hideMark/>
                </w:tcPr>
                <w:p w:rsidR="00F21EC6" w:rsidRPr="00F21EC6" w:rsidRDefault="00F21EC6" w:rsidP="00F21EC6">
                  <w:r w:rsidRPr="00F21EC6">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F21EC6">
                    <w:br/>
                    <w:t>Обеспечение обязательств по договору осуществляется двумя способами.</w:t>
                  </w:r>
                  <w:r w:rsidRPr="00F21EC6">
                    <w:br/>
                  </w:r>
                  <w:bookmarkStart w:id="0" w:name="_GoBack"/>
                  <w:r w:rsidRPr="00F21EC6">
                    <w:t>1. Обеспечение исполнения обязательств на возврат Контрагентом авансовых платежей: в форме безотзывной и безусловной банковской гарантией.</w:t>
                  </w:r>
                  <w:r w:rsidRPr="00F21EC6">
                    <w:br/>
                    <w:t>(Более подробная информация в Проекте Договора, Приложение № 2 к КД)</w:t>
                  </w:r>
                  <w:r w:rsidRPr="00F21EC6">
                    <w:br/>
                  </w:r>
                  <w:r w:rsidRPr="00F21EC6">
                    <w:br/>
                    <w:t>В случае авансирования 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F21EC6">
                    <w:br/>
                    <w:t>Кредитная организация, выдавшая комфортное/гарантийное письмо, должна удовлетворять следующим требованиям:</w:t>
                  </w:r>
                  <w:r w:rsidRPr="00F21EC6">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F21EC6">
                    <w:t>,</w:t>
                  </w:r>
                  <w:proofErr w:type="gramEnd"/>
                  <w:r w:rsidRPr="00F21EC6">
                    <w:t xml:space="preserve"> чем на 6 (шесть) календарных месяцев;</w:t>
                  </w:r>
                  <w:r w:rsidRPr="00F21EC6">
                    <w:br/>
                    <w:t>б) участвовать в системе страхования вкладов;</w:t>
                  </w:r>
                  <w:r w:rsidRPr="00F21EC6">
                    <w:br/>
                    <w:t xml:space="preserve">в) сумма безотзывной безусловной банковской гарантии составляет не </w:t>
                  </w:r>
                  <w:r w:rsidRPr="00F21EC6">
                    <w:lastRenderedPageBreak/>
                    <w:t>более 5% от величины собственного капитала банка на последнюю отчетную дату, предшествующую дате выдачи гарантии.</w:t>
                  </w:r>
                  <w:r w:rsidRPr="00F21EC6">
                    <w:br/>
                  </w:r>
                  <w:r w:rsidRPr="00F21EC6">
                    <w:br/>
                  </w:r>
                  <w:proofErr w:type="spellStart"/>
                  <w:r w:rsidRPr="00F21EC6">
                    <w:t>Непредоставление</w:t>
                  </w:r>
                  <w:proofErr w:type="spellEnd"/>
                  <w:r w:rsidRPr="00F21EC6">
                    <w:t xml:space="preserve"> комфортного/гарантийного письма является основанием к отклонению заявки Участника</w:t>
                  </w:r>
                  <w:r w:rsidRPr="00F21EC6">
                    <w:br/>
                  </w:r>
                  <w:r w:rsidRPr="00F21EC6">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(Более подробная информация в Проекте Договора, Приложении № 2 к КД)</w:t>
                  </w:r>
                  <w:r w:rsidRPr="00F21EC6">
                    <w:br/>
                  </w:r>
                  <w:r w:rsidRPr="00F21EC6">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bookmarkEnd w:id="0"/>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lastRenderedPageBreak/>
                    <w:t>Конкурсные заявки:</w:t>
                  </w:r>
                </w:p>
              </w:tc>
              <w:tc>
                <w:tcPr>
                  <w:tcW w:w="0" w:type="auto"/>
                  <w:shd w:val="clear" w:color="auto" w:fill="F7F7F7"/>
                  <w:hideMark/>
                </w:tcPr>
                <w:p w:rsidR="00F21EC6" w:rsidRPr="00F21EC6" w:rsidRDefault="00F21EC6" w:rsidP="00F21EC6">
                  <w:r w:rsidRPr="00F21EC6">
                    <w:t>Все документы, входящие в Конкурсную заявку, должны быть подготовлены на русском языке. Все суммы денежных сре</w:t>
                  </w:r>
                  <w:proofErr w:type="gramStart"/>
                  <w:r w:rsidRPr="00F21EC6">
                    <w:t>дств в д</w:t>
                  </w:r>
                  <w:proofErr w:type="gramEnd"/>
                  <w:r w:rsidRPr="00F21EC6">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При выборе победителя учитывается:</w:t>
                  </w:r>
                </w:p>
              </w:tc>
              <w:tc>
                <w:tcPr>
                  <w:tcW w:w="0" w:type="auto"/>
                  <w:hideMark/>
                </w:tcPr>
                <w:p w:rsidR="00F21EC6" w:rsidRPr="00F21EC6" w:rsidRDefault="00F21EC6" w:rsidP="00F21EC6">
                  <w:r w:rsidRPr="00F21EC6">
                    <w:t>Цена с НДС</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Место вскрытия конвертов:</w:t>
                  </w:r>
                </w:p>
              </w:tc>
              <w:tc>
                <w:tcPr>
                  <w:tcW w:w="0" w:type="auto"/>
                  <w:shd w:val="clear" w:color="auto" w:fill="F7F7F7"/>
                  <w:hideMark/>
                </w:tcPr>
                <w:p w:rsidR="00F21EC6" w:rsidRPr="00F21EC6" w:rsidRDefault="00F21EC6" w:rsidP="00F21EC6">
                  <w:r w:rsidRPr="00F21EC6">
                    <w:t>Вскрытие конвертов с заявками состоится на сайте системы электронных торгов группы B2B-Center (www.b2b-center.ru).</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Дата вскрытия конвертов (крайний срок подачи конкурсных заявок):</w:t>
                  </w:r>
                </w:p>
              </w:tc>
              <w:tc>
                <w:tcPr>
                  <w:tcW w:w="0" w:type="auto"/>
                  <w:hideMark/>
                </w:tcPr>
                <w:p w:rsidR="00F21EC6" w:rsidRPr="00F21EC6" w:rsidRDefault="00F21EC6" w:rsidP="00F21EC6">
                  <w:r w:rsidRPr="00F21EC6">
                    <w:t>Вскрытие конвертов с заявками состоится </w:t>
                  </w:r>
                  <w:r w:rsidRPr="00F21EC6">
                    <w:rPr>
                      <w:b/>
                      <w:bCs/>
                    </w:rPr>
                    <w:t>23.05.2014 в 08:00 по московскому времени</w:t>
                  </w:r>
                  <w:r w:rsidRPr="00F21EC6">
                    <w:t>.</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Дата рассмотрения предложений:</w:t>
                  </w:r>
                </w:p>
              </w:tc>
              <w:tc>
                <w:tcPr>
                  <w:tcW w:w="0" w:type="auto"/>
                  <w:shd w:val="clear" w:color="auto" w:fill="F7F7F7"/>
                  <w:hideMark/>
                </w:tcPr>
                <w:p w:rsidR="00F21EC6" w:rsidRPr="00F21EC6" w:rsidRDefault="00F21EC6" w:rsidP="00F21EC6">
                  <w:r w:rsidRPr="00F21EC6">
                    <w:t>11.06.2014 15:00</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Место рассмотрения предложений:</w:t>
                  </w:r>
                </w:p>
              </w:tc>
              <w:tc>
                <w:tcPr>
                  <w:tcW w:w="0" w:type="auto"/>
                  <w:hideMark/>
                </w:tcPr>
                <w:p w:rsidR="00F21EC6" w:rsidRPr="00F21EC6" w:rsidRDefault="00F21EC6" w:rsidP="00F21EC6">
                  <w:r w:rsidRPr="00F21EC6">
                    <w:t>628617, ХМАО-Югра, Тюменская область, г. Нижневартовск, ул. Пермская, 22</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Дата и время подведения итогов:</w:t>
                  </w:r>
                </w:p>
              </w:tc>
              <w:tc>
                <w:tcPr>
                  <w:tcW w:w="0" w:type="auto"/>
                  <w:shd w:val="clear" w:color="auto" w:fill="F7F7F7"/>
                  <w:hideMark/>
                </w:tcPr>
                <w:p w:rsidR="00F21EC6" w:rsidRPr="00F21EC6" w:rsidRDefault="00F21EC6" w:rsidP="00F21EC6">
                  <w:r w:rsidRPr="00F21EC6">
                    <w:t>23.06.2014 15:00</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Место подведения итогов:</w:t>
                  </w:r>
                </w:p>
              </w:tc>
              <w:tc>
                <w:tcPr>
                  <w:tcW w:w="0" w:type="auto"/>
                  <w:hideMark/>
                </w:tcPr>
                <w:p w:rsidR="00F21EC6" w:rsidRPr="00F21EC6" w:rsidRDefault="00F21EC6" w:rsidP="00F21EC6">
                  <w:r w:rsidRPr="00F21EC6">
                    <w:t>628617, ХМАО-Югра, Тюменская область, г. Нижневартовск, ул. Пермская, 22</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Критерии выбора победителя и сроки заключения договора:</w:t>
                  </w:r>
                </w:p>
              </w:tc>
              <w:tc>
                <w:tcPr>
                  <w:tcW w:w="0" w:type="auto"/>
                  <w:shd w:val="clear" w:color="auto" w:fill="F7F7F7"/>
                  <w:hideMark/>
                </w:tcPr>
                <w:p w:rsidR="00F21EC6" w:rsidRPr="00F21EC6" w:rsidRDefault="00F21EC6" w:rsidP="00F21EC6">
                  <w:r w:rsidRPr="00F21EC6">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21EC6">
                    <w:t>ранжировке</w:t>
                  </w:r>
                  <w:proofErr w:type="spellEnd"/>
                  <w:r w:rsidRPr="00F21EC6">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w:t>
                  </w:r>
                  <w:r w:rsidRPr="00F21EC6">
                    <w:lastRenderedPageBreak/>
                    <w:t>Участником и Организатором конкурса. Организатор Конкурса вправе, при необходимости, изменить данный срок</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lastRenderedPageBreak/>
                    <w:t>Лимитная (начальная) цена закупки:</w:t>
                  </w:r>
                </w:p>
              </w:tc>
              <w:tc>
                <w:tcPr>
                  <w:tcW w:w="0" w:type="auto"/>
                  <w:hideMark/>
                </w:tcPr>
                <w:p w:rsidR="00F21EC6" w:rsidRPr="00F21EC6" w:rsidRDefault="00F21EC6" w:rsidP="00F21EC6">
                  <w:r w:rsidRPr="00F21EC6">
                    <w:t>Лот № 1. 29 701 738,05 руб. (цена с НДС)</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Переторжка (регулирование цены):</w:t>
                  </w:r>
                </w:p>
              </w:tc>
              <w:tc>
                <w:tcPr>
                  <w:tcW w:w="0" w:type="auto"/>
                  <w:shd w:val="clear" w:color="auto" w:fill="F7F7F7"/>
                  <w:hideMark/>
                </w:tcPr>
                <w:p w:rsidR="00F21EC6" w:rsidRPr="00F21EC6" w:rsidRDefault="00F21EC6" w:rsidP="00F21EC6">
                  <w:r w:rsidRPr="00F21EC6">
                    <w:t>Организатор конкурса намерен воспользоваться правом на проведение переторжки (регулирования цены).</w:t>
                  </w:r>
                </w:p>
              </w:tc>
            </w:tr>
            <w:tr w:rsidR="00F21EC6" w:rsidRPr="00F21EC6">
              <w:trPr>
                <w:tblCellSpacing w:w="0" w:type="dxa"/>
              </w:trPr>
              <w:tc>
                <w:tcPr>
                  <w:tcW w:w="0" w:type="auto"/>
                  <w:hideMark/>
                </w:tcPr>
                <w:p w:rsidR="00F21EC6" w:rsidRPr="00F21EC6" w:rsidRDefault="00F21EC6" w:rsidP="00F21EC6">
                  <w:pPr>
                    <w:jc w:val="right"/>
                    <w:rPr>
                      <w:sz w:val="18"/>
                      <w:szCs w:val="18"/>
                    </w:rPr>
                  </w:pPr>
                  <w:r w:rsidRPr="00F21EC6">
                    <w:rPr>
                      <w:sz w:val="18"/>
                      <w:szCs w:val="18"/>
                    </w:rPr>
                    <w:t>Дополнительная информация о конкурсе:</w:t>
                  </w:r>
                </w:p>
              </w:tc>
              <w:tc>
                <w:tcPr>
                  <w:tcW w:w="0" w:type="auto"/>
                  <w:hideMark/>
                </w:tcPr>
                <w:p w:rsidR="00F21EC6" w:rsidRPr="00F21EC6" w:rsidRDefault="00F21EC6" w:rsidP="00F21EC6">
                  <w:r w:rsidRPr="00F21EC6">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F21EC6">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21EC6">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21EC6">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21EC6" w:rsidRPr="00F21EC6">
              <w:trPr>
                <w:tblCellSpacing w:w="0" w:type="dxa"/>
              </w:trPr>
              <w:tc>
                <w:tcPr>
                  <w:tcW w:w="0" w:type="auto"/>
                  <w:shd w:val="clear" w:color="auto" w:fill="F7F7F7"/>
                  <w:hideMark/>
                </w:tcPr>
                <w:p w:rsidR="00F21EC6" w:rsidRPr="00F21EC6" w:rsidRDefault="00F21EC6" w:rsidP="00F21EC6">
                  <w:pPr>
                    <w:jc w:val="right"/>
                    <w:rPr>
                      <w:sz w:val="18"/>
                      <w:szCs w:val="18"/>
                    </w:rPr>
                  </w:pPr>
                  <w:r w:rsidRPr="00F21EC6">
                    <w:rPr>
                      <w:sz w:val="18"/>
                      <w:szCs w:val="18"/>
                    </w:rPr>
                    <w:t>Адрес места поставки товара, проведения работ или оказания услуг:</w:t>
                  </w:r>
                </w:p>
              </w:tc>
              <w:tc>
                <w:tcPr>
                  <w:tcW w:w="0" w:type="auto"/>
                  <w:shd w:val="clear" w:color="auto" w:fill="F7F7F7"/>
                  <w:hideMark/>
                </w:tcPr>
                <w:p w:rsidR="00F21EC6" w:rsidRPr="00F21EC6" w:rsidRDefault="00F21EC6" w:rsidP="00F21EC6">
                  <w:hyperlink r:id="rId18" w:history="1">
                    <w:r w:rsidRPr="00F21EC6">
                      <w:rPr>
                        <w:color w:val="1C50A4"/>
                        <w:u w:val="single"/>
                      </w:rPr>
                      <w:t>628617, Ханты-Мансийский Автономный округ - Югра, Тюменская область, г. Нижневартовск, ул. Пермская, 22</w:t>
                    </w:r>
                  </w:hyperlink>
                </w:p>
              </w:tc>
            </w:tr>
          </w:tbl>
          <w:p w:rsidR="00F21EC6" w:rsidRPr="00F21EC6" w:rsidRDefault="00F21EC6" w:rsidP="00F21EC6">
            <w:pPr>
              <w:rPr>
                <w:rFonts w:ascii="Arial" w:hAnsi="Arial" w:cs="Arial"/>
                <w:color w:val="000000"/>
                <w:sz w:val="18"/>
                <w:szCs w:val="18"/>
              </w:rPr>
            </w:pPr>
          </w:p>
        </w:tc>
      </w:tr>
    </w:tbl>
    <w:p w:rsidR="00442E9F" w:rsidRDefault="00442E9F"/>
    <w:sectPr w:rsidR="00442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C6"/>
    <w:rsid w:val="00442E9F"/>
    <w:rsid w:val="00EB1A7E"/>
    <w:rsid w:val="00F21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21EC6"/>
    <w:rPr>
      <w:rFonts w:ascii="Tahoma" w:hAnsi="Tahoma" w:cs="Tahoma"/>
      <w:sz w:val="16"/>
      <w:szCs w:val="16"/>
    </w:rPr>
  </w:style>
  <w:style w:type="character" w:customStyle="1" w:styleId="a4">
    <w:name w:val="Текст выноски Знак"/>
    <w:basedOn w:val="a0"/>
    <w:link w:val="a3"/>
    <w:rsid w:val="00F21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21EC6"/>
    <w:rPr>
      <w:rFonts w:ascii="Tahoma" w:hAnsi="Tahoma" w:cs="Tahoma"/>
      <w:sz w:val="16"/>
      <w:szCs w:val="16"/>
    </w:rPr>
  </w:style>
  <w:style w:type="character" w:customStyle="1" w:styleId="a4">
    <w:name w:val="Текст выноски Знак"/>
    <w:basedOn w:val="a0"/>
    <w:link w:val="a3"/>
    <w:rsid w:val="00F21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596002">
      <w:bodyDiv w:val="1"/>
      <w:marLeft w:val="0"/>
      <w:marRight w:val="0"/>
      <w:marTop w:val="0"/>
      <w:marBottom w:val="0"/>
      <w:divBdr>
        <w:top w:val="none" w:sz="0" w:space="0" w:color="auto"/>
        <w:left w:val="none" w:sz="0" w:space="0" w:color="auto"/>
        <w:bottom w:val="none" w:sz="0" w:space="0" w:color="auto"/>
        <w:right w:val="none" w:sz="0" w:space="0" w:color="auto"/>
      </w:divBdr>
      <w:divsChild>
        <w:div w:id="48694256">
          <w:marLeft w:val="0"/>
          <w:marRight w:val="15"/>
          <w:marTop w:val="0"/>
          <w:marBottom w:val="30"/>
          <w:divBdr>
            <w:top w:val="none" w:sz="0" w:space="0" w:color="auto"/>
            <w:left w:val="none" w:sz="0" w:space="0" w:color="auto"/>
            <w:bottom w:val="none" w:sz="0" w:space="0" w:color="auto"/>
            <w:right w:val="none" w:sz="0" w:space="0" w:color="auto"/>
          </w:divBdr>
        </w:div>
        <w:div w:id="123431975">
          <w:marLeft w:val="0"/>
          <w:marRight w:val="15"/>
          <w:marTop w:val="0"/>
          <w:marBottom w:val="30"/>
          <w:divBdr>
            <w:top w:val="none" w:sz="0" w:space="0" w:color="auto"/>
            <w:left w:val="none" w:sz="0" w:space="0" w:color="auto"/>
            <w:bottom w:val="none" w:sz="0" w:space="0" w:color="auto"/>
            <w:right w:val="none" w:sz="0" w:space="0" w:color="auto"/>
          </w:divBdr>
        </w:div>
        <w:div w:id="1136070781">
          <w:marLeft w:val="0"/>
          <w:marRight w:val="15"/>
          <w:marTop w:val="0"/>
          <w:marBottom w:val="30"/>
          <w:divBdr>
            <w:top w:val="none" w:sz="0" w:space="0" w:color="auto"/>
            <w:left w:val="none" w:sz="0" w:space="0" w:color="auto"/>
            <w:bottom w:val="none" w:sz="0" w:space="0" w:color="auto"/>
            <w:right w:val="none" w:sz="0" w:space="0" w:color="auto"/>
          </w:divBdr>
        </w:div>
        <w:div w:id="417479060">
          <w:marLeft w:val="0"/>
          <w:marRight w:val="15"/>
          <w:marTop w:val="0"/>
          <w:marBottom w:val="30"/>
          <w:divBdr>
            <w:top w:val="none" w:sz="0" w:space="0" w:color="auto"/>
            <w:left w:val="none" w:sz="0" w:space="0" w:color="auto"/>
            <w:bottom w:val="none" w:sz="0" w:space="0" w:color="auto"/>
            <w:right w:val="none" w:sz="0" w:space="0" w:color="auto"/>
          </w:divBdr>
        </w:div>
        <w:div w:id="71783285">
          <w:marLeft w:val="0"/>
          <w:marRight w:val="15"/>
          <w:marTop w:val="0"/>
          <w:marBottom w:val="30"/>
          <w:divBdr>
            <w:top w:val="none" w:sz="0" w:space="0" w:color="auto"/>
            <w:left w:val="none" w:sz="0" w:space="0" w:color="auto"/>
            <w:bottom w:val="none" w:sz="0" w:space="0" w:color="auto"/>
            <w:right w:val="none" w:sz="0" w:space="0" w:color="auto"/>
          </w:divBdr>
        </w:div>
        <w:div w:id="1555972519">
          <w:marLeft w:val="0"/>
          <w:marRight w:val="15"/>
          <w:marTop w:val="0"/>
          <w:marBottom w:val="30"/>
          <w:divBdr>
            <w:top w:val="none" w:sz="0" w:space="0" w:color="auto"/>
            <w:left w:val="none" w:sz="0" w:space="0" w:color="auto"/>
            <w:bottom w:val="none" w:sz="0" w:space="0" w:color="auto"/>
            <w:right w:val="none" w:sz="0" w:space="0" w:color="auto"/>
          </w:divBdr>
        </w:div>
        <w:div w:id="1129476479">
          <w:marLeft w:val="0"/>
          <w:marRight w:val="60"/>
          <w:marTop w:val="60"/>
          <w:marBottom w:val="60"/>
          <w:divBdr>
            <w:top w:val="none" w:sz="0" w:space="0" w:color="auto"/>
            <w:left w:val="none" w:sz="0" w:space="0" w:color="auto"/>
            <w:bottom w:val="none" w:sz="0" w:space="0" w:color="auto"/>
            <w:right w:val="none" w:sz="0" w:space="0" w:color="auto"/>
          </w:divBdr>
          <w:divsChild>
            <w:div w:id="2094080671">
              <w:marLeft w:val="0"/>
              <w:marRight w:val="0"/>
              <w:marTop w:val="0"/>
              <w:marBottom w:val="0"/>
              <w:divBdr>
                <w:top w:val="none" w:sz="0" w:space="0" w:color="auto"/>
                <w:left w:val="none" w:sz="0" w:space="0" w:color="auto"/>
                <w:bottom w:val="none" w:sz="0" w:space="0" w:color="auto"/>
                <w:right w:val="none" w:sz="0" w:space="0" w:color="auto"/>
              </w:divBdr>
            </w:div>
          </w:divsChild>
        </w:div>
        <w:div w:id="1096899548">
          <w:marLeft w:val="0"/>
          <w:marRight w:val="0"/>
          <w:marTop w:val="0"/>
          <w:marBottom w:val="0"/>
          <w:divBdr>
            <w:top w:val="none" w:sz="0" w:space="0" w:color="auto"/>
            <w:left w:val="none" w:sz="0" w:space="0" w:color="auto"/>
            <w:bottom w:val="none" w:sz="0" w:space="0" w:color="auto"/>
            <w:right w:val="none" w:sz="0" w:space="0" w:color="auto"/>
          </w:divBdr>
        </w:div>
        <w:div w:id="931819815">
          <w:marLeft w:val="0"/>
          <w:marRight w:val="0"/>
          <w:marTop w:val="0"/>
          <w:marBottom w:val="0"/>
          <w:divBdr>
            <w:top w:val="none" w:sz="0" w:space="0" w:color="auto"/>
            <w:left w:val="none" w:sz="0" w:space="0" w:color="auto"/>
            <w:bottom w:val="none" w:sz="0" w:space="0" w:color="auto"/>
            <w:right w:val="none" w:sz="0" w:space="0" w:color="auto"/>
          </w:divBdr>
        </w:div>
        <w:div w:id="48274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0210&amp;action=send_letters" TargetMode="External"/><Relationship Id="rId13" Type="http://schemas.openxmlformats.org/officeDocument/2006/relationships/hyperlink" Target="mailto:ChernyhYN@vartanet.ru" TargetMode="External"/><Relationship Id="rId18" Type="http://schemas.openxmlformats.org/officeDocument/2006/relationships/hyperlink" Target="http://www.b2b-mrsk.ru/market/view_tender.html?id=40210" TargetMode="External"/><Relationship Id="rId3" Type="http://schemas.openxmlformats.org/officeDocument/2006/relationships/settings" Target="settings.xml"/><Relationship Id="rId7" Type="http://schemas.openxmlformats.org/officeDocument/2006/relationships/hyperlink" Target="http://www.b2b-mrsk.ru/market/view_tender.html?id=40210&amp;action=invitations" TargetMode="External"/><Relationship Id="rId12" Type="http://schemas.openxmlformats.org/officeDocument/2006/relationships/hyperlink" Target="http://www.b2b-mrsk.ru/popups/send_message.html?action=send&amp;to=125052&amp;subject=%D0%92%D0%BE%D0%BF%D1%80%D0%BE%D1%81+%D0%BF%D0%BE+%D0%BA%D0%BE%D0%BD%D0%BA%D1%83%D1%80%D1%81%D1%83+%E2%84%96+40210"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40210&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0210&amp;action=explanation" TargetMode="External"/><Relationship Id="rId11" Type="http://schemas.openxmlformats.org/officeDocument/2006/relationships/hyperlink" Target="http://www.b2b-mrsk.ru/market/list_tenders.html?all=0&amp;cat_id=64521123&amp;open=1" TargetMode="External"/><Relationship Id="rId5" Type="http://schemas.openxmlformats.org/officeDocument/2006/relationships/hyperlink" Target="http://www.b2b-mrsk.ru/market/view_tender.html?id=40210&amp;show=lots" TargetMode="External"/><Relationship Id="rId15" Type="http://schemas.openxmlformats.org/officeDocument/2006/relationships/hyperlink" Target="http://www.b2b-mrsk.ru/market/edit_tender.html?id=40210&amp;action=docs" TargetMode="External"/><Relationship Id="rId10" Type="http://schemas.openxmlformats.org/officeDocument/2006/relationships/hyperlink" Target="http://www.b2b-mrsk.ru/firms/view_firm.html?id=1023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40210&amp;show=statistics" TargetMode="External"/><Relationship Id="rId14" Type="http://schemas.openxmlformats.org/officeDocument/2006/relationships/hyperlink" Target="http://www.b2b-mrsk.ru/download.html?file=file%2F9197904.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2343</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cp:lastPrinted>2014-04-21T08:19:00Z</cp:lastPrinted>
  <dcterms:created xsi:type="dcterms:W3CDTF">2014-04-21T08:18:00Z</dcterms:created>
  <dcterms:modified xsi:type="dcterms:W3CDTF">2014-04-21T09:03:00Z</dcterms:modified>
</cp:coreProperties>
</file>