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42" w:rsidRPr="00B2014C" w:rsidRDefault="002D17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54693">
        <w:rPr>
          <w:rFonts w:ascii="Times New Roman" w:hAnsi="Times New Roman" w:cs="Times New Roman"/>
          <w:sz w:val="24"/>
          <w:szCs w:val="24"/>
        </w:rPr>
        <w:t>5</w:t>
      </w:r>
      <w:r w:rsidR="00B20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014C">
        <w:rPr>
          <w:rFonts w:ascii="Times New Roman" w:hAnsi="Times New Roman" w:cs="Times New Roman"/>
          <w:sz w:val="24"/>
          <w:szCs w:val="24"/>
        </w:rPr>
        <w:t>к ЗД</w:t>
      </w:r>
      <w:bookmarkStart w:id="0" w:name="_GoBack"/>
      <w:bookmarkEnd w:id="0"/>
    </w:p>
    <w:p w:rsidR="00552A42" w:rsidRDefault="00552A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A42" w:rsidRDefault="00552A4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2A42" w:rsidRDefault="002D170C">
      <w:pPr>
        <w:autoSpaceDE w:val="0"/>
        <w:autoSpaceDN w:val="0"/>
        <w:adjustRightInd w:val="0"/>
        <w:spacing w:line="24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Сводной сметы на ПИР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инструкции не следует воспроизводить в документах, подготовленных Участником конкурса.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выявления арифметических ошибок при подсчете общих сумм в конкурсной заявке Заказчик (Организатор) конкурса оставляет за собой право с письменного согласия Участника пересчитать общую сумму.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Стоимость предложения в текущих ценах в рублях в Коммерческом предложении (форма 3) должна соответствовать общей сумме в письме подачи оферты (форма 1).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Сводной смете приводятся соответственно наименование выполняемых работ и затрат, обоснование стоимости работ и затрат (номера расчетов, смет), стоимость работ и затрат в текущих ценах.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Также, могут быть приведены примечания и комментарии.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Сводной смете стоимость по видам работ и затрат указывается раздельно согласно Календарному плану (приложение 2 к проекту договора) и Техническому заданию.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 в обязательном порядке предоставляет выполненные в любом программном комплексе, в том числе «ГРАНД СМЕТА» или в Excel * сметы и расчеты, являющиеся обоснованием (расшифровкой) стоимости работ и затрат, указанной в столбце 4 Сводной сметы (приложение 3 к проекту договора).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Участник предоставляет обоснование стоимости работ и затрат (сметы, расчеты) на бумажном носителе и в электронном виде в формате выбранного ПК*.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Сметы, расчеты стоимости ПИР выполнить базисно- индексным методом. Не допускается составление смет в текущих ценах, без применения индексов перевода в текущие цены. Значение индекса округлять до двух знаков после запятой.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Индексы не должны превышать рекомендованные Минстроем РФ на момент проведения закупки. Дополнительное применение понижающих коэффициентов в ценовом предложении не указывается.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Сметы на изыскательские работы составляются по СБЦИ (сборники базовых цен на изыскательские работы), внесенные в федеральный реестр сметных нормативов действующий на момент проведения закупки.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Сметы на проектные работы составляются по СБЦП (сборники   базовых цен на проектные работы), внесенные в федеральный реестр сметных нормативов действующий на момент проведения закупки.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Базовая цена проектных работ определяется от общей стоимости строительства или в зависимости от натуральных показателей.</w:t>
      </w:r>
    </w:p>
    <w:p w:rsidR="00552A42" w:rsidRDefault="002D170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Общая стоимость строительства определяется по Сборнику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укрупненных показателей стоимости строительства (реконструкции)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подстанций и линий электропередачи для нужд ОАО «Холдинг МРСК»,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утвержденному Приказом ОАО «Холдинг МРСК» от 20.09.12г. №488, а при отсутствии укрупненных показателей по объекту-аналогу, на объект- аналог предоставляется смета.</w:t>
      </w:r>
    </w:p>
    <w:p w:rsidR="00552A42" w:rsidRDefault="00552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A42" w:rsidRDefault="00552A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52A4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947"/>
    <w:multiLevelType w:val="hybridMultilevel"/>
    <w:tmpl w:val="C680A206"/>
    <w:lvl w:ilvl="0" w:tplc="DE0C16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42"/>
    <w:rsid w:val="002D170C"/>
    <w:rsid w:val="00552A42"/>
    <w:rsid w:val="00B2014C"/>
    <w:rsid w:val="00F5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EC33"/>
  <w15:chartTrackingRefBased/>
  <w15:docId w15:val="{A4AAD543-198A-4EA8-A629-6F45D6C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Кривопустова Екатерина Васильевна</dc:creator>
  <cp:keywords/>
  <dc:description/>
  <cp:lastModifiedBy>Ахтёрова Ольга Зиноновна</cp:lastModifiedBy>
  <cp:revision>10</cp:revision>
  <cp:lastPrinted>2016-05-17T04:50:00Z</cp:lastPrinted>
  <dcterms:created xsi:type="dcterms:W3CDTF">2016-05-13T06:21:00Z</dcterms:created>
  <dcterms:modified xsi:type="dcterms:W3CDTF">2017-01-16T05:54:00Z</dcterms:modified>
</cp:coreProperties>
</file>