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060" w:type="dxa"/>
        <w:jc w:val="center"/>
        <w:tblLook w:val="04A0" w:firstRow="1" w:lastRow="0" w:firstColumn="1" w:lastColumn="0" w:noHBand="0" w:noVBand="1"/>
      </w:tblPr>
      <w:tblGrid>
        <w:gridCol w:w="788"/>
        <w:gridCol w:w="4703"/>
        <w:gridCol w:w="4569"/>
      </w:tblGrid>
      <w:tr w:rsidR="00542AD3" w:rsidRPr="005C7E56" w:rsidTr="006376F3">
        <w:trPr>
          <w:trHeight w:val="416"/>
          <w:jc w:val="center"/>
        </w:trPr>
        <w:tc>
          <w:tcPr>
            <w:tcW w:w="562" w:type="dxa"/>
          </w:tcPr>
          <w:p w:rsidR="00542AD3" w:rsidRPr="005C7E56" w:rsidRDefault="00542AD3" w:rsidP="006376F3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>№ п/п</w:t>
            </w:r>
          </w:p>
        </w:tc>
        <w:tc>
          <w:tcPr>
            <w:tcW w:w="4820" w:type="dxa"/>
            <w:vAlign w:val="center"/>
          </w:tcPr>
          <w:p w:rsidR="00542AD3" w:rsidRPr="005C7E56" w:rsidRDefault="00542AD3" w:rsidP="006376F3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Вопрос </w:t>
            </w:r>
          </w:p>
        </w:tc>
        <w:tc>
          <w:tcPr>
            <w:tcW w:w="4678" w:type="dxa"/>
            <w:vAlign w:val="center"/>
          </w:tcPr>
          <w:p w:rsidR="00542AD3" w:rsidRPr="005C7E56" w:rsidRDefault="00542AD3" w:rsidP="006376F3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Ответ </w:t>
            </w:r>
          </w:p>
        </w:tc>
      </w:tr>
      <w:tr w:rsidR="00542AD3" w:rsidRPr="005C7E56" w:rsidTr="006376F3">
        <w:trPr>
          <w:jc w:val="center"/>
        </w:trPr>
        <w:tc>
          <w:tcPr>
            <w:tcW w:w="562" w:type="dxa"/>
          </w:tcPr>
          <w:p w:rsidR="00542AD3" w:rsidRPr="005C7E56" w:rsidRDefault="00542AD3" w:rsidP="006376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C7E56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4820" w:type="dxa"/>
          </w:tcPr>
          <w:p w:rsidR="00542AD3" w:rsidRPr="00945A82" w:rsidRDefault="00542AD3" w:rsidP="006376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AD3">
              <w:rPr>
                <w:rFonts w:ascii="Times New Roman" w:hAnsi="Times New Roman"/>
                <w:sz w:val="24"/>
                <w:szCs w:val="24"/>
              </w:rPr>
              <w:t>Условиями Технического задания, являющегося частью документации об открытом одноэтапном конкурсе без предварительного отбора на право заключения Договора на оказание услуг по технической поддержке оборудования HP для нужд АО «</w:t>
            </w:r>
            <w:proofErr w:type="spellStart"/>
            <w:r w:rsidRPr="00542AD3">
              <w:rPr>
                <w:rFonts w:ascii="Times New Roman" w:hAnsi="Times New Roman"/>
                <w:sz w:val="24"/>
                <w:szCs w:val="24"/>
              </w:rPr>
              <w:t>Тюменьэнерго</w:t>
            </w:r>
            <w:proofErr w:type="spellEnd"/>
            <w:r w:rsidRPr="00542AD3">
              <w:rPr>
                <w:rFonts w:ascii="Times New Roman" w:hAnsi="Times New Roman"/>
                <w:sz w:val="24"/>
                <w:szCs w:val="24"/>
              </w:rPr>
              <w:t xml:space="preserve">» (далее - Документация о закупке), установлены нижеуказанные требования, требующие дополнительного разъяснения со стороны Заказчика. Согласно п. 32.4 Информационной карты (Блок 1. Отборочные требования к участникам и документам) Участник/ член коллективного Участника должен обладать необходимыми кадровыми ресурсами, исполняющими обязанности на основании трудовых либо гражданско-правовых договоров, в частности - не менее 2-х сертифицированных специалистов, обладающих опытом сопровождения оборудования </w:t>
            </w:r>
            <w:proofErr w:type="spellStart"/>
            <w:r w:rsidRPr="00542AD3">
              <w:rPr>
                <w:rFonts w:ascii="Times New Roman" w:hAnsi="Times New Roman"/>
                <w:sz w:val="24"/>
                <w:szCs w:val="24"/>
              </w:rPr>
              <w:t>Хьюлетт</w:t>
            </w:r>
            <w:proofErr w:type="spellEnd"/>
            <w:r w:rsidRPr="00542AD3">
              <w:rPr>
                <w:rFonts w:ascii="Times New Roman" w:hAnsi="Times New Roman"/>
                <w:sz w:val="24"/>
                <w:szCs w:val="24"/>
              </w:rPr>
              <w:t xml:space="preserve"> Паккард Энтерпрайз (</w:t>
            </w:r>
            <w:proofErr w:type="spellStart"/>
            <w:r w:rsidRPr="00542AD3">
              <w:rPr>
                <w:rFonts w:ascii="Times New Roman" w:hAnsi="Times New Roman"/>
                <w:sz w:val="24"/>
                <w:szCs w:val="24"/>
              </w:rPr>
              <w:t>Hewlett</w:t>
            </w:r>
            <w:proofErr w:type="spellEnd"/>
            <w:r w:rsidRPr="00542A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2AD3">
              <w:rPr>
                <w:rFonts w:ascii="Times New Roman" w:hAnsi="Times New Roman"/>
                <w:sz w:val="24"/>
                <w:szCs w:val="24"/>
              </w:rPr>
              <w:t>Packard</w:t>
            </w:r>
            <w:proofErr w:type="spellEnd"/>
            <w:r w:rsidRPr="00542A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2AD3">
              <w:rPr>
                <w:rFonts w:ascii="Times New Roman" w:hAnsi="Times New Roman"/>
                <w:sz w:val="24"/>
                <w:szCs w:val="24"/>
              </w:rPr>
              <w:t>Enterprise</w:t>
            </w:r>
            <w:proofErr w:type="spellEnd"/>
            <w:r w:rsidRPr="00542AD3">
              <w:rPr>
                <w:rFonts w:ascii="Times New Roman" w:hAnsi="Times New Roman"/>
                <w:sz w:val="24"/>
                <w:szCs w:val="24"/>
              </w:rPr>
              <w:t xml:space="preserve">). Однако в Форме Справки о кадровых ресурсах - п.4.8 Документации о закупке – в графе «Сертифицированные специалисты, обладающие опытом сопровождения оборудования </w:t>
            </w:r>
            <w:proofErr w:type="spellStart"/>
            <w:r w:rsidRPr="00542AD3">
              <w:rPr>
                <w:rFonts w:ascii="Times New Roman" w:hAnsi="Times New Roman"/>
                <w:sz w:val="24"/>
                <w:szCs w:val="24"/>
              </w:rPr>
              <w:t>Хьюлетт</w:t>
            </w:r>
            <w:proofErr w:type="spellEnd"/>
            <w:r w:rsidRPr="00542AD3">
              <w:rPr>
                <w:rFonts w:ascii="Times New Roman" w:hAnsi="Times New Roman"/>
                <w:sz w:val="24"/>
                <w:szCs w:val="24"/>
              </w:rPr>
              <w:t xml:space="preserve"> Паккард Энтерпрайз (</w:t>
            </w:r>
            <w:proofErr w:type="spellStart"/>
            <w:r w:rsidRPr="00542AD3">
              <w:rPr>
                <w:rFonts w:ascii="Times New Roman" w:hAnsi="Times New Roman"/>
                <w:sz w:val="24"/>
                <w:szCs w:val="24"/>
              </w:rPr>
              <w:t>Hewlett</w:t>
            </w:r>
            <w:proofErr w:type="spellEnd"/>
            <w:r w:rsidRPr="00542A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2AD3">
              <w:rPr>
                <w:rFonts w:ascii="Times New Roman" w:hAnsi="Times New Roman"/>
                <w:sz w:val="24"/>
                <w:szCs w:val="24"/>
              </w:rPr>
              <w:t>Packard</w:t>
            </w:r>
            <w:proofErr w:type="spellEnd"/>
            <w:r w:rsidRPr="00542A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2AD3">
              <w:rPr>
                <w:rFonts w:ascii="Times New Roman" w:hAnsi="Times New Roman"/>
                <w:sz w:val="24"/>
                <w:szCs w:val="24"/>
              </w:rPr>
              <w:t>Enterprise</w:t>
            </w:r>
            <w:proofErr w:type="spellEnd"/>
            <w:r w:rsidRPr="00542AD3">
              <w:rPr>
                <w:rFonts w:ascii="Times New Roman" w:hAnsi="Times New Roman"/>
                <w:sz w:val="24"/>
                <w:szCs w:val="24"/>
              </w:rPr>
              <w:t xml:space="preserve">)» есть пометка – «не менее 3 чел.». В связи с чем, в целях конкретизации закупочного процесса, просим уточнить, какое конкретно количество сертифицированных специалистов, обладающих опытом сопровождения оборудования </w:t>
            </w:r>
            <w:proofErr w:type="spellStart"/>
            <w:r w:rsidRPr="00542AD3">
              <w:rPr>
                <w:rFonts w:ascii="Times New Roman" w:hAnsi="Times New Roman"/>
                <w:sz w:val="24"/>
                <w:szCs w:val="24"/>
              </w:rPr>
              <w:t>Хьюлетт</w:t>
            </w:r>
            <w:proofErr w:type="spellEnd"/>
            <w:r w:rsidRPr="00542AD3">
              <w:rPr>
                <w:rFonts w:ascii="Times New Roman" w:hAnsi="Times New Roman"/>
                <w:sz w:val="24"/>
                <w:szCs w:val="24"/>
              </w:rPr>
              <w:t xml:space="preserve"> Паккард Энтерпрайз (</w:t>
            </w:r>
            <w:proofErr w:type="spellStart"/>
            <w:r w:rsidRPr="00542AD3">
              <w:rPr>
                <w:rFonts w:ascii="Times New Roman" w:hAnsi="Times New Roman"/>
                <w:sz w:val="24"/>
                <w:szCs w:val="24"/>
              </w:rPr>
              <w:t>Hewlett</w:t>
            </w:r>
            <w:proofErr w:type="spellEnd"/>
            <w:r w:rsidRPr="00542A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2AD3">
              <w:rPr>
                <w:rFonts w:ascii="Times New Roman" w:hAnsi="Times New Roman"/>
                <w:sz w:val="24"/>
                <w:szCs w:val="24"/>
              </w:rPr>
              <w:t>Packard</w:t>
            </w:r>
            <w:proofErr w:type="spellEnd"/>
            <w:r w:rsidRPr="00542A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2AD3">
              <w:rPr>
                <w:rFonts w:ascii="Times New Roman" w:hAnsi="Times New Roman"/>
                <w:sz w:val="24"/>
                <w:szCs w:val="24"/>
              </w:rPr>
              <w:t>Enterprise</w:t>
            </w:r>
            <w:proofErr w:type="spellEnd"/>
            <w:r w:rsidRPr="00542AD3">
              <w:rPr>
                <w:rFonts w:ascii="Times New Roman" w:hAnsi="Times New Roman"/>
                <w:sz w:val="24"/>
                <w:szCs w:val="24"/>
              </w:rPr>
              <w:t>), является обязательным для соответствия Участником закупки обязательным требованиям по отборочному критерию – наличие необходимых кадровых ресурсов.</w:t>
            </w:r>
          </w:p>
        </w:tc>
        <w:tc>
          <w:tcPr>
            <w:tcW w:w="4678" w:type="dxa"/>
          </w:tcPr>
          <w:p w:rsidR="00542AD3" w:rsidRPr="00F94101" w:rsidRDefault="00542AD3" w:rsidP="006376F3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94101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В соответствии 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с </w:t>
            </w:r>
            <w:r w:rsidRPr="00F94101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п. 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32.4</w:t>
            </w:r>
            <w:r w:rsidRPr="00F94101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информационной карты конкурсной документации </w:t>
            </w:r>
            <w:r w:rsidRPr="00542AD3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Участник/ член коллективного Участника должен обладать необходимыми кадровыми ресурсами, исполняющими обязанности на основании трудовых либо гражданско-правовых договоров, в частности - </w:t>
            </w:r>
            <w:r w:rsidRPr="00542AD3"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  <w:t>не менее 2-х сертифицированных специалистов</w:t>
            </w:r>
            <w:r w:rsidRPr="00542AD3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, обладающих опытом сопровождения оборудования </w:t>
            </w:r>
            <w:proofErr w:type="spellStart"/>
            <w:r w:rsidRPr="00542AD3">
              <w:rPr>
                <w:rFonts w:ascii="Times New Roman" w:hAnsi="Times New Roman"/>
                <w:sz w:val="24"/>
                <w:szCs w:val="24"/>
                <w:highlight w:val="yellow"/>
              </w:rPr>
              <w:t>Хьюлетт</w:t>
            </w:r>
            <w:proofErr w:type="spellEnd"/>
            <w:r w:rsidRPr="00542AD3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Паккард Энтерпрайз (</w:t>
            </w:r>
            <w:proofErr w:type="spellStart"/>
            <w:r w:rsidRPr="00542AD3">
              <w:rPr>
                <w:rFonts w:ascii="Times New Roman" w:hAnsi="Times New Roman"/>
                <w:sz w:val="24"/>
                <w:szCs w:val="24"/>
                <w:highlight w:val="yellow"/>
              </w:rPr>
              <w:t>Hewlett</w:t>
            </w:r>
            <w:proofErr w:type="spellEnd"/>
            <w:r w:rsidRPr="00542AD3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542AD3">
              <w:rPr>
                <w:rFonts w:ascii="Times New Roman" w:hAnsi="Times New Roman"/>
                <w:sz w:val="24"/>
                <w:szCs w:val="24"/>
                <w:highlight w:val="yellow"/>
              </w:rPr>
              <w:t>Packard</w:t>
            </w:r>
            <w:proofErr w:type="spellEnd"/>
            <w:r w:rsidRPr="00542AD3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542AD3">
              <w:rPr>
                <w:rFonts w:ascii="Times New Roman" w:hAnsi="Times New Roman"/>
                <w:sz w:val="24"/>
                <w:szCs w:val="24"/>
                <w:highlight w:val="yellow"/>
              </w:rPr>
              <w:t>Enterprise</w:t>
            </w:r>
            <w:proofErr w:type="spellEnd"/>
            <w:r w:rsidRPr="00542AD3">
              <w:rPr>
                <w:rFonts w:ascii="Times New Roman" w:hAnsi="Times New Roman"/>
                <w:sz w:val="24"/>
                <w:szCs w:val="24"/>
                <w:highlight w:val="yellow"/>
              </w:rPr>
              <w:t>)</w:t>
            </w:r>
            <w:r w:rsidRPr="00F94101">
              <w:rPr>
                <w:rFonts w:ascii="Times New Roman" w:hAnsi="Times New Roman"/>
                <w:sz w:val="24"/>
                <w:szCs w:val="24"/>
                <w:highlight w:val="yellow"/>
              </w:rPr>
              <w:t>.</w:t>
            </w:r>
          </w:p>
          <w:p w:rsidR="00542AD3" w:rsidRPr="00F94101" w:rsidRDefault="00542AD3" w:rsidP="006376F3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542AD3" w:rsidRPr="00F94101" w:rsidRDefault="00542AD3" w:rsidP="00542AD3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94101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таблице </w:t>
            </w:r>
            <w:r w:rsidRPr="00542AD3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1. </w:t>
            </w:r>
            <w:r w:rsidRPr="00542AD3">
              <w:rPr>
                <w:rFonts w:ascii="Times New Roman" w:hAnsi="Times New Roman"/>
                <w:sz w:val="24"/>
                <w:szCs w:val="24"/>
                <w:highlight w:val="yellow"/>
              </w:rPr>
              <w:t>«</w:t>
            </w:r>
            <w:r w:rsidRPr="00542AD3">
              <w:rPr>
                <w:rFonts w:ascii="Times New Roman" w:hAnsi="Times New Roman"/>
                <w:sz w:val="24"/>
                <w:szCs w:val="24"/>
                <w:highlight w:val="yellow"/>
              </w:rPr>
              <w:t>Общая штатная численность персонала и суммарная численность персонала, привлекаемого для выполнения работ по договору</w:t>
            </w:r>
            <w:r w:rsidRPr="00542AD3">
              <w:rPr>
                <w:rFonts w:ascii="Times New Roman" w:hAnsi="Times New Roman"/>
                <w:sz w:val="24"/>
                <w:szCs w:val="24"/>
                <w:highlight w:val="yellow"/>
              </w:rPr>
              <w:t>» читать как «</w:t>
            </w:r>
            <w:r w:rsidRPr="00542AD3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Сертифицированные специалисты, обладающие опытом сопровождения оборудования </w:t>
            </w:r>
            <w:proofErr w:type="spellStart"/>
            <w:r w:rsidRPr="00542AD3">
              <w:rPr>
                <w:rFonts w:ascii="Times New Roman" w:hAnsi="Times New Roman"/>
                <w:sz w:val="24"/>
                <w:szCs w:val="24"/>
                <w:highlight w:val="yellow"/>
              </w:rPr>
              <w:t>Хьюлетт</w:t>
            </w:r>
            <w:proofErr w:type="spellEnd"/>
            <w:r w:rsidRPr="00542AD3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Паккард Энтерпрайз (</w:t>
            </w:r>
            <w:proofErr w:type="spellStart"/>
            <w:r w:rsidRPr="00542AD3">
              <w:rPr>
                <w:rFonts w:ascii="Times New Roman" w:hAnsi="Times New Roman"/>
                <w:sz w:val="24"/>
                <w:szCs w:val="24"/>
                <w:highlight w:val="yellow"/>
              </w:rPr>
              <w:t>Hewlett</w:t>
            </w:r>
            <w:proofErr w:type="spellEnd"/>
            <w:r w:rsidRPr="00542AD3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542AD3">
              <w:rPr>
                <w:rFonts w:ascii="Times New Roman" w:hAnsi="Times New Roman"/>
                <w:sz w:val="24"/>
                <w:szCs w:val="24"/>
                <w:highlight w:val="yellow"/>
              </w:rPr>
              <w:t>Packard</w:t>
            </w:r>
            <w:proofErr w:type="spellEnd"/>
            <w:r w:rsidRPr="00542AD3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542AD3">
              <w:rPr>
                <w:rFonts w:ascii="Times New Roman" w:hAnsi="Times New Roman"/>
                <w:sz w:val="24"/>
                <w:szCs w:val="24"/>
                <w:highlight w:val="yellow"/>
              </w:rPr>
              <w:t>Ente</w:t>
            </w:r>
            <w:bookmarkStart w:id="0" w:name="_GoBack"/>
            <w:bookmarkEnd w:id="0"/>
            <w:r w:rsidRPr="00542AD3">
              <w:rPr>
                <w:rFonts w:ascii="Times New Roman" w:hAnsi="Times New Roman"/>
                <w:sz w:val="24"/>
                <w:szCs w:val="24"/>
                <w:highlight w:val="yellow"/>
              </w:rPr>
              <w:t>rprise</w:t>
            </w:r>
            <w:proofErr w:type="spellEnd"/>
            <w:r w:rsidRPr="00542AD3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), </w:t>
            </w:r>
            <w:r w:rsidRPr="00542AD3"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  <w:t xml:space="preserve">не менее </w:t>
            </w:r>
            <w:r w:rsidRPr="00542AD3"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  <w:t>2</w:t>
            </w:r>
            <w:r w:rsidRPr="00542AD3"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  <w:t xml:space="preserve"> чел</w:t>
            </w:r>
            <w:r w:rsidRPr="00542AD3">
              <w:rPr>
                <w:rFonts w:ascii="Times New Roman" w:hAnsi="Times New Roman"/>
                <w:sz w:val="24"/>
                <w:szCs w:val="24"/>
                <w:highlight w:val="yellow"/>
              </w:rPr>
              <w:t>.</w:t>
            </w:r>
            <w:r w:rsidRPr="00542AD3">
              <w:rPr>
                <w:rFonts w:ascii="Times New Roman" w:hAnsi="Times New Roman"/>
                <w:sz w:val="24"/>
                <w:szCs w:val="24"/>
                <w:highlight w:val="yellow"/>
              </w:rPr>
              <w:t>»</w:t>
            </w:r>
            <w:r w:rsidRPr="00F94101">
              <w:rPr>
                <w:rFonts w:ascii="Times New Roman" w:hAnsi="Times New Roman"/>
                <w:sz w:val="24"/>
                <w:szCs w:val="24"/>
                <w:highlight w:val="yellow"/>
              </w:rPr>
              <w:t>.</w:t>
            </w:r>
          </w:p>
        </w:tc>
      </w:tr>
    </w:tbl>
    <w:p w:rsidR="00941C3E" w:rsidRDefault="00941C3E"/>
    <w:sectPr w:rsidR="00941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645"/>
    <w:rsid w:val="002B0645"/>
    <w:rsid w:val="00542AD3"/>
    <w:rsid w:val="0094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4FB95"/>
  <w15:chartTrackingRefBased/>
  <w15:docId w15:val="{315A7707-7E63-418F-AA37-CEE923338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AD3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2AD3"/>
    <w:pPr>
      <w:spacing w:after="0" w:line="240" w:lineRule="auto"/>
      <w:ind w:firstLine="34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1842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2017-06-14T05:21:00Z</dcterms:created>
  <dcterms:modified xsi:type="dcterms:W3CDTF">2017-06-14T05:26:00Z</dcterms:modified>
</cp:coreProperties>
</file>